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135-143, 2010.</w:t>
      </w:r>
    </w:p>
    <w:p>
      <w:pPr>
        <w:numPr>
          <w:numId w:val="5"/>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1522-1536, 2010.</w:t>
      </w:r>
    </w:p>
    <w:p>
      <w:pPr>
        <w:numPr>
          <w:numId w:val="5"/>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2010.</w:t>
      </w:r>
    </w:p>
    <w:p>
      <w:pPr>
        <w:numPr>
          <w:numId w:val="5"/>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116-116-1161-16,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1125-1134,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917-928,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359-370,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419-424,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5"/>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23-31, Jul. 2010.</w:t>
      </w:r>
    </w:p>
    <w:p>
      <w:pPr>
        <w:numPr>
          <w:numId w:val="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741-18, Nov. 2010.</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269-280, 2011.</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6"/>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12800, </w:t>
      </w:r>
      <w:r>
        <w:rPr>
          <w:rFonts w:ascii="" w:hAnsi="" w:cs="" w:eastAsia=""/>
          <w:b w:val="false"/>
          <w:i w:val="false"/>
          <w:strike w:val="false"/>
          <w:color w:val="000000"/>
          <w:sz w:val="20"/>
          <w:u w:val="none"/>
        </w:rPr>
        <w:t>2015.</w:t>
      </w:r>
    </w:p>
    <w:p>
      <w:pPr>
        <w:numPr>
          <w:numId w:val="1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2016, </w:t>
      </w:r>
      <w:r>
        <w:rPr>
          <w:rFonts w:ascii="" w:hAnsi="" w:cs="" w:eastAsia=""/>
          <w:b w:val="false"/>
          <w:i w:val="false"/>
          <w:strike w:val="false"/>
          <w:color w:val="000000"/>
          <w:sz w:val="20"/>
          <w:u w:val="none"/>
        </w:rPr>
        <w:t>5054275, 2016.</w:t>
      </w:r>
    </w:p>
    <w:p>
      <w:pPr>
        <w:numPr>
          <w:numId w:val="1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2"/>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56-59,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3-O-104,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191, </w:t>
      </w:r>
      <w:r>
        <w:rPr>
          <w:rFonts w:ascii="" w:hAnsi="" w:cs="" w:eastAsia=""/>
          <w:b w:val="false"/>
          <w:i w:val="false"/>
          <w:strike w:val="false"/>
          <w:color w:val="000000"/>
          <w:sz w:val="20"/>
          <w:u w:val="none"/>
        </w:rPr>
        <w:t>31-40,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岩本 緋天, 坂下 美宙, 堀 天幸,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第63回日本薬学会中国四国支部学術大会(岡山，就実大学),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Hiten Iwamoto, Mihiro Sakashita, Takayuki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Ogawa : </w:t>
      </w:r>
      <w:r>
        <w:rPr>
          <w:rFonts w:ascii="" w:hAnsi="" w:cs="" w:eastAsia=""/>
          <w:b w:val="false"/>
          <w:i w:val="false"/>
          <w:strike w:val="false"/>
          <w:color w:val="000000"/>
          <w:sz w:val="20"/>
          <w:u w:val="none"/>
        </w:rPr>
        <w:t xml:space="preserve">片側パーキンソン病モデルマウスにおけるアリピプラゾールの低いジスキネジア発現率とレボドパ誘発ジスキネジアに対する抑制効果, </w:t>
      </w:r>
      <w:r>
        <w:rPr>
          <w:rFonts w:ascii="" w:hAnsi="" w:cs="" w:eastAsia=""/>
          <w:b w:val="false"/>
          <w:i w:val="true"/>
          <w:strike w:val="false"/>
          <w:color w:val="000000"/>
          <w:sz w:val="20"/>
          <w:u w:val="none"/>
        </w:rPr>
        <w:t xml:space="preserve">第98回日本薬理学会年会 APPW 2025(千葉，幕張メッセ), </w:t>
      </w:r>
      <w:r>
        <w:rPr>
          <w:rFonts w:ascii="" w:hAnsi="" w:cs="" w:eastAsia=""/>
          <w:b w:val="false"/>
          <w:i w:val="false"/>
          <w:strike w:val="false"/>
          <w:color w:val="000000"/>
          <w:sz w:val="20"/>
          <w:u w:val="none"/>
        </w:rPr>
        <w:t>Mar. 2025.</w:t>
      </w:r>
    </w:p>
    <w:p>
      <w:pPr>
        <w:numPr>
          <w:numId w:val="1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岩本 緋天, 坂下 美宙, 小川 允利 : </w:t>
      </w:r>
      <w:r>
        <w:rPr>
          <w:rFonts w:ascii="" w:hAnsi="" w:cs="" w:eastAsia=""/>
          <w:b w:val="false"/>
          <w:i w:val="false"/>
          <w:strike w:val="false"/>
          <w:color w:val="000000"/>
          <w:sz w:val="20"/>
          <w:u w:val="none"/>
        </w:rPr>
        <w:t xml:space="preserve">マウスの薬剤誘発性ジスキネジア様症状とアリピプラゾール, </w:t>
      </w:r>
      <w:r>
        <w:rPr>
          <w:rFonts w:ascii="" w:hAnsi="" w:cs="" w:eastAsia=""/>
          <w:b w:val="false"/>
          <w:i w:val="true"/>
          <w:strike w:val="false"/>
          <w:color w:val="000000"/>
          <w:sz w:val="20"/>
          <w:u w:val="none"/>
        </w:rPr>
        <w:t xml:space="preserve">第26回活性アミンに関するワークショップ(名古屋，名古屋市立大学),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