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797-801,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305-308, 2011.</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 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616,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805-810, 2011.</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672-673,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523-525,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527-532,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6071-6075,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165-168, 2013.</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111-112,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123-128,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6636-6643,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40-43,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915-924,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1023-1029,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191-203,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703-708,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451-457,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102-107,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