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照久</w:t>
      </w:r>
      <w:r>
        <w:rPr>
          <w:rFonts w:ascii="" w:hAnsi="" w:cs="" w:eastAsia=""/>
          <w:b w:val="false"/>
          <w:i w:val="false"/>
          <w:strike w:val="false"/>
          <w:color w:val="000000"/>
          <w:sz w:val="20"/>
          <w:u w:val="none"/>
        </w:rPr>
        <w:t xml:space="preserve"> : 徳島地域健康・医療産業クラスター形成戦略委員会,  (委員 [2006年6月〜2007年3月]).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日本学術振興会ノーベルプライズダイアログ東京2015運営委員会,  (委員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(学技術政策研究所科学技術動向研究センター平成26年度専門調査員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「橋渡し研究加速ネットワークプログラム」研究シーズ評価部会,  (特別委員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とくしま新未来雇用創造プロジェクト推進協議会,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経済産業省「大学における内部評価の在り方」検討委員会,  (委員 [2016年7月〜2017年3月]).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 全日本地域研究交流協会,  (目利き人材育成研修プログラム「研究推進マネジメントコース」グループ討議講師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公益財団法人神戸医療産業都市推進機構,  (ライフサイエンススタートアップ経営人材育成講座ファシリテーター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