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13-17, 2011.</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2011.</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62-69,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5"/>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89, 2011年5月.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123-124, 2011年6月.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雄一, 深井 穫博, 塩澤 光一, 佐藤 加代子, 神崎 由貴, 柳沢 繁孝, 花田 信弘, 青山 旬,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特定保健指導における咀嚼支援マニュアルの作成と活用,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塩澤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食事形態がヒトの咀嚼行動に及ぼす影響,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53,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484-488,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59-63,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2013.</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1031-1037,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23-31,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453-457, 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420-424,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7"/>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白山 靖彦 : </w:t>
      </w:r>
      <w:r>
        <w:rPr>
          <w:rFonts w:ascii="" w:hAnsi="" w:cs="" w:eastAsia=""/>
          <w:b w:val="false"/>
          <w:i w:val="false"/>
          <w:strike w:val="false"/>
          <w:color w:val="000000"/>
          <w:sz w:val="20"/>
          <w:u w:val="none"/>
        </w:rPr>
        <w:t xml:space="preserve">障害者支援施設(就労移行支援事業所)における就労移行決定のプロセスに関する検討,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425, 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7"/>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2014.</w:t>
      </w:r>
    </w:p>
    <w:p>
      <w:pPr>
        <w:numPr>
          <w:numId w:val="8"/>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93-96,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65-74,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73-90,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1059-1065,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8"/>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 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education be free?, </w:t>
      </w:r>
      <w:r>
        <w:rPr>
          <w:rFonts w:ascii="" w:hAnsi="" w:cs="" w:eastAsia=""/>
          <w:b w:val="false"/>
          <w:i w:val="true"/>
          <w:strike w:val="false"/>
          <w:color w:val="000000"/>
          <w:sz w:val="20"/>
          <w:u w:val="none"/>
        </w:rPr>
        <w:t xml:space="preserve">The 7th Learning Commons Event, </w:t>
      </w:r>
      <w:r>
        <w:rPr>
          <w:rFonts w:ascii="" w:hAnsi="" w:cs="" w:eastAsia=""/>
          <w:b w:val="false"/>
          <w:i w:val="false"/>
          <w:strike w:val="false"/>
          <w:color w:val="000000"/>
          <w:sz w:val="20"/>
          <w:u w:val="none"/>
        </w:rPr>
        <w:t>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206, 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438, 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Programs of Japan, </w:t>
      </w:r>
      <w:r>
        <w:rPr>
          <w:rFonts w:ascii="" w:hAnsi="" w:cs="" w:eastAsia=""/>
          <w:b w:val="false"/>
          <w:i w:val="true"/>
          <w:strike w:val="false"/>
          <w:color w:val="000000"/>
          <w:sz w:val="20"/>
          <w:u w:val="none"/>
        </w:rPr>
        <w:t xml:space="preserve">8th Cebu City Health Department Dental Meeting, </w:t>
      </w:r>
      <w:r>
        <w:rPr>
          <w:rFonts w:ascii="" w:hAnsi="" w:cs="" w:eastAsia=""/>
          <w:b w:val="false"/>
          <w:i w:val="false"/>
          <w:strike w:val="false"/>
          <w:color w:val="000000"/>
          <w:sz w:val="20"/>
          <w:u w:val="none"/>
        </w:rPr>
        <w:t>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2016 社会福祉士国家試験過去問解説集, 中央法規出版, 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介護支援専門員速習テキスト第19版, 日総研, 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ケアマネしあわせ便利帳2015年度版, 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高次脳機能障害者の自動車運転再開とリハビリテーション2 「支援体制」, 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高齢者虐待「母親に対する介護放棄のケースへの支援」, 日総研,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就労支援サービス, 日総研,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 日総研出版,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Keiko Tsuruda, Yuko Iwamoto, Fuminori Kato, Teruko Odaki, Nobuko Yamane, Yuriko Hori, Yuka Harashima, Ayako Sakoda, Akira Tagaya, Hitoshi Komatsuzawa, </w:t>
      </w:r>
      <w:r>
        <w:rPr>
          <w:rFonts w:ascii="" w:hAnsi="" w:cs="" w:eastAsia=""/>
          <w:b w:val="true"/>
          <w:i w:val="false"/>
          <w:strike w:val="false"/>
          <w:color w:val="000000"/>
          <w:sz w:val="20"/>
          <w:u w:val="single"/>
        </w:rPr>
        <w:t>Motoyuki Sugai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Noguchi : </w:t>
      </w:r>
      <w:r>
        <w:rPr>
          <w:rFonts w:ascii="" w:hAnsi="" w:cs="" w:eastAsia=""/>
          <w:b w:val="false"/>
          <w:i w:val="false"/>
          <w:strike w:val="false"/>
          <w:color w:val="000000"/>
          <w:sz w:val="20"/>
          <w:u w:val="none"/>
        </w:rPr>
        <w:t xml:space="preserve">Significant increase of oral bacteria in the early pregnancy period in Japanese women, </w:t>
      </w:r>
      <w:r>
        <w:rPr>
          <w:rFonts w:ascii="" w:hAnsi="" w:cs="" w:eastAsia=""/>
          <w:b w:val="false"/>
          <w:i w:val="true"/>
          <w:strike w:val="false"/>
          <w:color w:val="000000"/>
          <w:sz w:val="20"/>
          <w:u w:val="single"/>
        </w:rPr>
        <w:t>Journal of Investigative and Clinical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349-358,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e0148860, 2016.</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多様な参加者で構成される趣味活動への企業退職男性高齢者の参加と継続-組織戦略と参加メンバーの相互の視点から-,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39-55,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90-91, 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985-987,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6-13,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root fractures during free clinics in the Philippines., </w:t>
      </w:r>
      <w:r>
        <w:rPr>
          <w:rFonts w:ascii="" w:hAnsi="" w:cs="" w:eastAsia=""/>
          <w:b w:val="false"/>
          <w:i w:val="true"/>
          <w:strike w:val="false"/>
          <w:color w:val="000000"/>
          <w:sz w:val="20"/>
          <w:u w:val="none"/>
        </w:rPr>
        <w:t xml:space="preserve">The 7th Conference of Asian International Association of Dental Traumatology.,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男性高齢者が参加する社会組織のメンバー特性と関連要因-青壮年者との比較から-, </w:t>
      </w:r>
      <w:r>
        <w:rPr>
          <w:rFonts w:ascii="" w:hAnsi="" w:cs="" w:eastAsia=""/>
          <w:b w:val="false"/>
          <w:i w:val="true"/>
          <w:strike w:val="false"/>
          <w:color w:val="000000"/>
          <w:sz w:val="20"/>
          <w:u w:val="none"/>
        </w:rPr>
        <w:t xml:space="preserve">日本老年社会科学会第57回大会,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三野 聖子, 榎 恵子, 岡林 愛, 井手口 英章 : </w:t>
      </w:r>
      <w:r>
        <w:rPr>
          <w:rFonts w:ascii="" w:hAnsi="" w:cs="" w:eastAsia=""/>
          <w:b w:val="false"/>
          <w:i w:val="false"/>
          <w:strike w:val="false"/>
          <w:color w:val="000000"/>
          <w:sz w:val="20"/>
          <w:u w:val="none"/>
        </w:rPr>
        <w:t xml:space="preserve">某歯科衛生士専門学校における友人との学習活動と学習との関連について-第2報-,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高次脳機能障害者の医療同意に関する専門職への意識調査, </w:t>
      </w:r>
      <w:r>
        <w:rPr>
          <w:rFonts w:ascii="" w:hAnsi="" w:cs="" w:eastAsia=""/>
          <w:b w:val="false"/>
          <w:i w:val="true"/>
          <w:strike w:val="false"/>
          <w:color w:val="000000"/>
          <w:sz w:val="20"/>
          <w:u w:val="none"/>
        </w:rPr>
        <w:t xml:space="preserve">第39回日本高次脳機能障害学会学術総会,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回復期リハビリテーション病棟における高次脳機能障害患者の帰結予測,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478,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Faculty of Dentistry at Tokushima University, </w:t>
      </w:r>
      <w:r>
        <w:rPr>
          <w:rFonts w:ascii="" w:hAnsi="" w:cs="" w:eastAsia=""/>
          <w:b w:val="false"/>
          <w:i w:val="true"/>
          <w:strike w:val="false"/>
          <w:color w:val="000000"/>
          <w:sz w:val="20"/>
          <w:u w:val="none"/>
        </w:rPr>
        <w:t xml:space="preserve">Helsinki Metropolia University of Applied Sciences, </w:t>
      </w:r>
      <w:r>
        <w:rPr>
          <w:rFonts w:ascii="" w:hAnsi="" w:cs="" w:eastAsia=""/>
          <w:b w:val="false"/>
          <w:i w:val="false"/>
          <w:strike w:val="false"/>
          <w:color w:val="000000"/>
          <w:sz w:val="20"/>
          <w:u w:val="none"/>
        </w:rPr>
        <w:t>Sep. 2015.</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老施協総研 平成27年度調査研究助成報告書,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282-293,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0"/>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S126-30,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152-161,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347-353,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132-139,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40-46,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31-43,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1184-1186, 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298-305,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false"/>
          <w:strike w:val="false"/>
          <w:color w:val="000000"/>
          <w:sz w:val="20"/>
          <w:u w:val="none"/>
        </w:rPr>
        <w:t>251-258,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6-15,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1527-1532,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957-959,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14-15,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1"/>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100,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388-405,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28, 2018.</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11-13,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 2018年10月.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2"/>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 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V45, </w:t>
      </w:r>
      <w:r>
        <w:rPr>
          <w:rFonts w:ascii="" w:hAnsi="" w:cs="" w:eastAsia=""/>
          <w:b w:val="false"/>
          <w:i w:val="false"/>
          <w:strike w:val="false"/>
          <w:color w:val="000000"/>
          <w:sz w:val="20"/>
          <w:u w:val="none"/>
        </w:rPr>
        <w:t>46-56,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168-177,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100-117, 2020.</w:t>
      </w:r>
    </w:p>
    <w:p>
      <w:pPr>
        <w:numPr>
          <w:numId w:val="13"/>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S1349-0079,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30001-30003,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202-208,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494-502,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905-909,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52-56,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37-41, 2019年8月.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28-29, 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197-206,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E881,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1149-1156,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14"/>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104841, 2020.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304-310,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109740, 2020.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623-628,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e0248770,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162,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76-81,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1757-1764,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467, 2021.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166236, 2021.</w:t>
      </w:r>
    </w:p>
    <w:p>
      <w:pPr>
        <w:numPr>
          <w:numId w:val="15"/>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137-145,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992-1015,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2165-2171,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1116-1127,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172-177,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143-150, 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2021年7月.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138-146, Aug. 2021.</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20-25,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141-143, 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208,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883-893,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111-118,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2495, 2022.</w:t>
      </w:r>
    </w:p>
    <w:p>
      <w:pPr>
        <w:numPr>
          <w:numId w:val="1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49-59, 2023年.</w:t>
      </w:r>
    </w:p>
    <w:p>
      <w:pPr>
        <w:numPr>
          <w:numId w:val="16"/>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110-114,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34-45,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47-51,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(8), </w:t>
      </w:r>
      <w:r>
        <w:rPr>
          <w:rFonts w:ascii="" w:hAnsi="" w:cs="" w:eastAsia=""/>
          <w:b w:val="false"/>
          <w:i w:val="false"/>
          <w:strike w:val="false"/>
          <w:color w:val="000000"/>
          <w:sz w:val="20"/>
          <w:u w:val="none"/>
        </w:rPr>
        <w:t>7394, 2023.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9-14,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73-80, 2024.</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17"/>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67-69,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