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113-119,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1938-1961,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791-795,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