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PPT-12,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485, </w:t>
      </w:r>
      <w:r>
        <w:rPr>
          <w:rFonts w:ascii="" w:hAnsi="" w:cs="" w:eastAsia=""/>
          <w:b w:val="false"/>
          <w:i w:val="true"/>
          <w:strike w:val="false"/>
          <w:color w:val="000000"/>
          <w:sz w:val="20"/>
          <w:u w:val="none"/>
        </w:rPr>
        <w:t xml:space="preserve">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183197, 2020.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1569-1574,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Tohru Obata,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239, </w:t>
      </w:r>
      <w:r>
        <w:rPr>
          <w:rFonts w:ascii="" w:hAnsi="" w:cs="" w:eastAsia=""/>
          <w:b w:val="false"/>
          <w:i w:val="false"/>
          <w:strike w:val="false"/>
          <w:color w:val="000000"/>
          <w:sz w:val="20"/>
          <w:u w:val="none"/>
        </w:rPr>
        <w:t>105119, 2021.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false"/>
          <w:strike w:val="false"/>
          <w:color w:val="000000"/>
          <w:sz w:val="20"/>
          <w:u w:val="none"/>
        </w:rPr>
        <w:t>106639, 2021.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e12717,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177-187,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17-26,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999-1006,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22-27,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1136-1142,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712-718,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2210-2216,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Naoaki Yoshimura, Yasuhiro Morita, Mitsuo Yamamoto, Chika Higashine, Koki Takebayashi, Taichi Kumegawa, Yoshimichi Higashiyama, Masatoshi Niimi,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e13842,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2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Matsuoka, Taro Nakamura,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Austen A Barnett,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Guillem Ylla, Carrie A Whittle,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Cassandra G Extavour : </w:t>
      </w:r>
      <w:r>
        <w:rPr>
          <w:rFonts w:ascii="" w:hAnsi="" w:cs="" w:eastAsia=""/>
          <w:b w:val="false"/>
          <w:i w:val="false"/>
          <w:strike w:val="false"/>
          <w:color w:val="000000"/>
          <w:sz w:val="20"/>
          <w:u w:val="none"/>
        </w:rPr>
        <w:t xml:space="preserve">Establishment of CRISPR/Cas9-based knock-in in a hemimetabolous insect: targeted gene tagging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dev199746,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Key Isoflavone Synthesis Genes in Soybean Sprouts under Two LED Treatments, </w:t>
      </w:r>
      <w:r>
        <w:rPr>
          <w:rFonts w:ascii="" w:hAnsi="" w:cs="" w:eastAsia=""/>
          <w:b w:val="false"/>
          <w:i w:val="true"/>
          <w:strike w:val="false"/>
          <w:color w:val="000000"/>
          <w:sz w:val="20"/>
          <w:u w:val="single"/>
        </w:rPr>
        <w:t>ACS Agricultural Science &amp;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