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499-502,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485, </w:t>
      </w:r>
      <w:r>
        <w:rPr>
          <w:rFonts w:ascii="" w:hAnsi="" w:cs="" w:eastAsia=""/>
          <w:b w:val="false"/>
          <w:i w:val="true"/>
          <w:strike w:val="false"/>
          <w:color w:val="000000"/>
          <w:sz w:val="20"/>
          <w:u w:val="none"/>
        </w:rPr>
        <w:t xml:space="preserve">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46,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48-49,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1222-1232,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64-70,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9-18,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101-107,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4299-4304,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4241-4245,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2078-2084,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1304-1307,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3553-3563,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4479-4483,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1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104483, 2020.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2736-2755,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4675-4680,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e01239-20,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4083-4088,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105119, 2021.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96-111,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