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熊谷 親徳, 谷山 教幸,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リグノセルロース系バイオマスからエタノールを製造する方法,  (2009年),  (2009年9月), 特許第PCT/JP2009/004318号 (2009年9月).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野田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ニンニク破砕物，活性酸素消去剤，及びニンニク破砕物の製造方法, 特願2011-269171 (2011年), 特開2013-118855 (2013年), 特許第5000782号 (2012年5月).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CRISPRタイプI-Dを利用した標的ヌクレオチド配列改変技術, 特願PCT/JP2021/037194 (2021年10月), 特開WO/2022/075419 (2022年4月),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