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highly stable psychrophilic enzymes with high catalytic efficiency by protein engineering isolated., Award of Underwood Fellowship, BIOTECHNOLOGY AND BIOLOGICAL SCIENCES RESEARCH COUNCIL, UK,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Heavy-Fermion State in Filled Skutterudte SmOs4Sb12,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共通教育賞(徳島大学), 徳島大学,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物理学概論/力学及び熱力学,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創生学習「宇宙を探る」,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内分泌攪乱化学物質のNOMへの収着, 論文賞, 環境システム計測制御学会(EICA),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Multiband Superconductivity in Filled-Skutterudite Compounds (Pr1-xLax)Os4Sb12: An Sb Nuclear-Quadrupole-Resonance Study,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Paper of the Year, Human and Ecological Risk Assessment, 2007.</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Scaling in the Dynamical Conductivity of Heavy Fermion Ce and Yb Compounds,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Symmetry of Low-Field Ordered Phase of PrFe4P12: 31P NMR,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環境科学入門∼人間と地球の調和をめざして, 2007年度前期共通教育賞,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Symmetry Lowering Associated with the Metal-insulator transition in SmRu4P12 by 101Ru-NQR,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非ステロイド系医薬品類の生態リスク初期評価, 研究奨励賞, 京都大学環境衛生工学研究会,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Magnetic-Field-Induced Quadrupolar Ordering in the Heavy-Fermion Superconductor PrOs4Sb12, 第12回日本物理学会論文賞,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「つたえること」と「ものづくり」∼あいのメッセージ,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Abrupt Emergence of Pressure-Induced Superconductivity of 34 K in SrFe2As2: A Resistivity Study under Pressure,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tabu search approach based on strategic vibration for competitive facility location problems with random demands, Certificate of Merit for The 2009 IAENG International Conference on Operations Research, International Conference of Engineers and Computer Scientists 2009, Mar. 2009.</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