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YAMANAKA Ayaka : </w:t>
      </w:r>
      <w:r>
        <w:rPr>
          <w:rFonts w:ascii="" w:hAnsi="" w:cs="" w:eastAsia=""/>
          <w:b w:val="false"/>
          <w:i w:val="false"/>
          <w:strike w:val="false"/>
          <w:color w:val="000000"/>
          <w:sz w:val="20"/>
          <w:u w:val="none"/>
        </w:rPr>
        <w:t xml:space="preserve">Association of pre-chemoradiotherapy phase angle with muscle function and prognosis in patients with hea and neck cancer,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