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2011年4月〜2012年3月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石井町における歯科検診, 石井町,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