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15592052,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86,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ARBOUR Caroline, CHAUNY Jean-Marc, PAQUET Jean,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Sleep need is not higher in mild traumatic brain injury (mild TBI) patients after one year regardless post-trauma pain: An actigraphy study, </w:t>
      </w:r>
      <w:r>
        <w:rPr>
          <w:rFonts w:ascii="" w:hAnsi="" w:cs="" w:eastAsia=""/>
          <w:b w:val="false"/>
          <w:i w:val="true"/>
          <w:strike w:val="false"/>
          <w:color w:val="000000"/>
          <w:sz w:val="20"/>
          <w:u w:val="none"/>
        </w:rPr>
        <w:t xml:space="preserve">The 7th Conference of the Canadian Sleep Society,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ARCUS digma moduleを用いたデンティストリーへの試み, </w:t>
      </w:r>
      <w:r>
        <w:rPr>
          <w:rFonts w:ascii="" w:hAnsi="" w:cs="" w:eastAsia=""/>
          <w:b w:val="false"/>
          <w:i w:val="true"/>
          <w:strike w:val="false"/>
          <w:color w:val="000000"/>
          <w:sz w:val="20"/>
          <w:u w:val="none"/>
        </w:rPr>
        <w:t xml:space="preserve">Kavo CAD/CAM システムユーザー会,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健, 佐々木 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徳田 佳嗣 : </w:t>
      </w:r>
      <w:r>
        <w:rPr>
          <w:rFonts w:ascii="" w:hAnsi="" w:cs="" w:eastAsia=""/>
          <w:b w:val="false"/>
          <w:i w:val="false"/>
          <w:strike w:val="false"/>
          <w:color w:val="000000"/>
          <w:sz w:val="20"/>
          <w:u w:val="none"/>
        </w:rPr>
        <w:t xml:space="preserve">医工連携による実践的医療福祉ロボットの開発,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Absence of secondary sleep bruxism in mild traumatic brain injury patients at one month post trauma, </w:t>
      </w:r>
      <w:r>
        <w:rPr>
          <w:rFonts w:ascii="" w:hAnsi="" w:cs="" w:eastAsia=""/>
          <w:b w:val="false"/>
          <w:i w:val="true"/>
          <w:strike w:val="false"/>
          <w:color w:val="000000"/>
          <w:sz w:val="20"/>
          <w:u w:val="none"/>
        </w:rPr>
        <w:t xml:space="preserve">Journée scientifique 2016 de la Faculté de médecine dentaire,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219-220,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to chromium in an apple watch clasp, </w:t>
      </w:r>
      <w:r>
        <w:rPr>
          <w:rFonts w:ascii="" w:hAnsi="" w:cs="" w:eastAsia=""/>
          <w:b w:val="false"/>
          <w:i w:val="true"/>
          <w:strike w:val="false"/>
          <w:color w:val="000000"/>
          <w:sz w:val="20"/>
          <w:u w:val="none"/>
        </w:rPr>
        <w:t xml:space="preserve">Dermatitis,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Intra-trigeminal ganglionic rIL-10 injection relieves orofacial pain via potent β-endorphin release,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パッチテスト陽性金属除去が有効だった掌蹠膿疱症性骨関節炎の1症例,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「掌蹠膿疱症歯科診療の手引き」WG報告 金属アレルギーと掌蹠膿疱症,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小野 康寛, 藤原 夕子,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顎関節症初期治療診療ガイドライン2023改訂版に関するアンケート調査,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渡邊 友希, 高才 東,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顎関節症初期治療診療ガイドライン2023改訂版リーフレット作成の取り組み,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