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1"/>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シェーグレン症候群に対する病期対応型テーラーメード医療の構築, 康楽賞, 財団法人康楽会, 2011年1月.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平成24年度日本顎関節学会学術奨励賞,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low-intensity pulsed ultrasound on salivary gland, Best Poster Presentation Award., The 3rd ASEAN Plus and Tokushima Joint International Conference,, Dec. 2014.</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低出力パルス超音波は唾液腺炎に対して抗炎症作用を有し唾液分泌を促進する,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 CXCL10-CXCR3 の役割, 日本口腔科学会学会賞優秀ポスター賞,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一次性および二次性舌痛症患者における睡眠障害の検討—睡眠質問票を用いた調査—, 優秀論文賞, 日本口腔顔面痛学会, 2019年9月.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-MMP-9CXCL10, 日本口腔科学会 学会賞優秀ポスター賞,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シェーグレン症候群唾液腺病態形成におけるCXCL10の役割, 康楽会賞, 公益財団法人康楽会, 2021年2月.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徳島大学病院歯科診療部門の診療並びに臨床指導, 令和5年度徳島大学歯学部優秀臨床賞, 徳島大学歯学部, 2023年9月.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 T-cell-dependent differentiation of CD23+ follicular B cells contributes to the pulmonary pathology in a primary Sjögren's syndrome mouse model, 日本シェーグレン症候群学会第18回奨励賞,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