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0"/>
        </w:numPr>
        <w:autoSpaceDE w:val="off"/>
        <w:autoSpaceDN w:val="off"/>
        <w:spacing w:line="-240" w:lineRule="auto"/>
        <w:ind w:left="30"/>
      </w:pP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保健学科教育賞, </w:t>
      </w:r>
      <w:r>
        <w:rPr>
          <w:rFonts w:ascii="" w:hAnsi="" w:cs="" w:eastAsia=""/>
          <w:b w:val="false"/>
          <w:i w:val="false"/>
          <w:strike w:val="false"/>
          <w:color w:val="000000"/>
          <w:sz w:val="20"/>
          <w:u w:val="single"/>
        </w:rPr>
        <w:t>保健学科</w:t>
      </w:r>
      <w:r>
        <w:rPr>
          <w:rFonts w:ascii="" w:hAnsi="" w:cs="" w:eastAsia=""/>
          <w:b w:val="false"/>
          <w:i w:val="false"/>
          <w:strike w:val="false"/>
          <w:color w:val="000000"/>
          <w:sz w:val="20"/>
          <w:u w:val="none"/>
        </w:rPr>
        <w:t>, 2010年2月.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医学部優秀教育賞, 徳島大学医学部, 2011年3月.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川西 千恵美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保健学科教育賞, </w:t>
      </w:r>
      <w:r>
        <w:rPr>
          <w:rFonts w:ascii="" w:hAnsi="" w:cs="" w:eastAsia=""/>
          <w:b w:val="false"/>
          <w:i w:val="false"/>
          <w:strike w:val="false"/>
          <w:color w:val="000000"/>
          <w:sz w:val="20"/>
          <w:u w:val="single"/>
        </w:rPr>
        <w:t>保健学科</w:t>
      </w:r>
      <w:r>
        <w:rPr>
          <w:rFonts w:ascii="" w:hAnsi="" w:cs="" w:eastAsia=""/>
          <w:b w:val="false"/>
          <w:i w:val="false"/>
          <w:strike w:val="false"/>
          <w:color w:val="000000"/>
          <w:sz w:val="20"/>
          <w:u w:val="none"/>
        </w:rPr>
        <w:t>,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Yuko Yasuhara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Development of Assesment Tool for Optimal Care for Patients with Ischemic Heart Disease who Underwent elective Percutaneous Coronary Intervention, Bronze Award for Poster Presentation, 1st Cebu International Nursing Conference, 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Effectiveness of the integration of different types of quantitative and qualitative assessment indicators for the patients with ischemic heart disease who underwent percutaneous coronary intervention (PCI), 優秀ポスター賞, NLP-KE2011, 2011年11月.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平成24年度保健学科教育賞, 徳島大学医学部保健学科, 2013年3月.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飯藤 大和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the Japanese Psychiatric Nursing Assessment Classification System (PsyNACS©), 岡奨学賞,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Hirokazu 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Development of the Cloud Server-based Psychiatric Nursing Assessment classification and Care planning System (PsyNACS)©, The best poster presentation, International Conference on Ethics, Esthetics, and Empirics in Nursing, Songkhla, Thailand July5-7. 2017.,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飯藤 大和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徳島大学大学院医歯薬学研究部長表彰, 徳島大学大学院医歯薬学研究部,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徳島大学大学院医歯薬学研究部長表彰, 徳島大学大学院医歯薬学研究部, 2018年3月.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Omar Maningo Rodis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Patient-reported experience and oral health-related quality of life (OHRQoL) in edentates with implant-retained overdentures, Shirley C. Gordon Shared Vulnerability Award, The International Association for Shirley C. Gordon Award,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Open Innovation and Artificial Intelligence: Ethical Issues Concerning Humanoid Caring Robot (HCR) for Older Adults, Winning First Place in the Research Development and Innovation Conference 2019 Poster Presentation, Research Development and Innovation Conference 2019, Mar. 2019.</w:t>
      </w:r>
    </w:p>
    <w:p>
      <w:pPr>
        <w:numPr>
          <w:numId w:val="21"/>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令和2年度康楽会賞, 公益財団法人康楽会,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令和2年度保健学科教育賞, 徳島大学医学部保健学科,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飯藤 大和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医学部優秀教育賞, 徳島大学大学院医歯薬学研究部,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Yuko Yasuhara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Best Contribution Award, The 15th International Conference on Natural Language Processing and Knowledge Engineering(NLP-KE2020), Oct. 2020.</w:t>
      </w:r>
    </w:p>
    <w:p>
      <w:pPr>
        <w:numPr>
          <w:numId w:val="22"/>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令和3年度保健学科教育賞, 徳島大学医学部保健学科, 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令和4年度保健学科教育賞, 徳島大学医学部保健学科, 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Yuko Sato, </w:t>
      </w:r>
      <w:r>
        <w:rPr>
          <w:rFonts w:ascii="" w:hAnsi="" w:cs="" w:eastAsia=""/>
          <w:b w:val="true"/>
          <w:i w:val="false"/>
          <w:strike w:val="false"/>
          <w:color w:val="000000"/>
          <w:sz w:val="20"/>
          <w:u w:val="single"/>
        </w:rPr>
        <w:t>Yuko Yasuhara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Tanioka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Best oral presentation, 4TH INTERNATIONAL CONFERENCE ON TECHNOLOGICAL COMPETENCY AS CARING IN NURSING AND HEALTH SCIENCES 2022, ZOOM, Dec. 2022.</w:t>
      </w:r>
    </w:p>
    <w:p>
      <w:pPr>
        <w:numPr>
          <w:numId w:val="25"/>
        </w:numPr>
        <w:autoSpaceDE w:val="off"/>
        <w:autoSpaceDN w:val="off"/>
        <w:spacing w:line="-240" w:lineRule="auto"/>
        <w:ind w:left="30"/>
      </w:pP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令和6年度保健学科教育賞, 徳島大学医学部保健学科, 2025年3月.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