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竹内 佐有理, 知花 美鈴 : </w:t>
      </w:r>
      <w:r>
        <w:rPr>
          <w:rFonts w:ascii="" w:hAnsi="" w:cs="" w:eastAsia=""/>
          <w:b w:val="false"/>
          <w:i w:val="false"/>
          <w:strike w:val="false"/>
          <w:color w:val="000000"/>
          <w:sz w:val="20"/>
          <w:u w:val="none"/>
        </w:rPr>
        <w:t xml:space="preserve">自我同一性の生涯発達(3), --- -とくに役割葛藤との関連から·成人期以降の女性保育士を中心にして- ---, </w:t>
      </w:r>
      <w:r>
        <w:rPr>
          <w:rFonts w:ascii="" w:hAnsi="" w:cs="" w:eastAsia=""/>
          <w:b w:val="false"/>
          <w:i w:val="true"/>
          <w:strike w:val="false"/>
          <w:color w:val="000000"/>
          <w:sz w:val="20"/>
          <w:u w:val="none"/>
        </w:rPr>
        <w:t xml:space="preserve">日本発達心理学会第16回大会発表,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6-8, 2006年1月.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4"/>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4"/>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271-280,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652-665,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