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Matuki Takaomi,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Matuki Takaomi, Kudo Tsuyoshi,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