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27-37,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t>
      </w:r>
      <w:r>
        <w:rPr>
          <w:rFonts w:ascii="" w:hAnsi="" w:cs="" w:eastAsia=""/>
          <w:b w:val="false"/>
          <w:i w:val="true"/>
          <w:strike w:val="false"/>
          <w:color w:val="000000"/>
          <w:sz w:val="20"/>
          <w:u w:val="none"/>
        </w:rPr>
        <w:t xml:space="preserve">徳島県,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1011-1016,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228-231,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