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米国における臨床薬剤師教育制度および卒後教育制度の研究, </w:t>
      </w:r>
      <w:r>
        <w:rPr>
          <w:rFonts w:ascii="" w:hAnsi="" w:cs="" w:eastAsia=""/>
          <w:b w:val="false"/>
          <w:i w:val="true"/>
          <w:strike w:val="false"/>
          <w:color w:val="000000"/>
          <w:sz w:val="20"/>
          <w:u w:val="none"/>
        </w:rPr>
        <w:t xml:space="preserve">厚生労働科学研究費補助金 医薬品・医療機器等レギュラトリーサイエンス総合研究推進事業, </w:t>
      </w:r>
      <w:r>
        <w:rPr>
          <w:rFonts w:ascii="" w:hAnsi="" w:cs="" w:eastAsia=""/>
          <w:b w:val="false"/>
          <w:i w:val="false"/>
          <w:strike w:val="false"/>
          <w:color w:val="000000"/>
          <w:sz w:val="20"/>
          <w:u w:val="none"/>
        </w:rPr>
        <w:t>809-828,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Nagahiro Ochiai, Shuji Masumoto, Hiroyuki Sakagami,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Yamauchi : </w:t>
      </w:r>
      <w:r>
        <w:rPr>
          <w:rFonts w:ascii="" w:hAnsi="" w:cs="" w:eastAsia=""/>
          <w:b w:val="false"/>
          <w:i w:val="false"/>
          <w:strike w:val="false"/>
          <w:color w:val="000000"/>
          <w:sz w:val="20"/>
          <w:u w:val="none"/>
        </w:rPr>
        <w:t>Rat leucine-rich protein binds and activates the promoter of the isoform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gene.,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服薬指導ケーススタディー HPNの支援, </w:t>
      </w:r>
      <w:r>
        <w:rPr>
          <w:rFonts w:ascii="" w:hAnsi="" w:cs="" w:eastAsia=""/>
          <w:b w:val="false"/>
          <w:i w:val="true"/>
          <w:strike w:val="false"/>
          <w:color w:val="000000"/>
          <w:sz w:val="20"/>
          <w:u w:val="none"/>
        </w:rPr>
        <w:t xml:space="preserve">Clinical Pharmacist,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 regulate morphology of microglia derived from Sandhoff disease model mice, </w:t>
      </w:r>
      <w:r>
        <w:rPr>
          <w:rFonts w:ascii="" w:hAnsi="" w:cs="" w:eastAsia=""/>
          <w:b w:val="false"/>
          <w:i w:val="true"/>
          <w:strike w:val="false"/>
          <w:color w:val="000000"/>
          <w:sz w:val="20"/>
          <w:u w:val="none"/>
        </w:rPr>
        <w:t xml:space="preserve">The Second Decennial Meeting Between Seoul Naional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36003-36018,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75-85,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439-447, 2016.</w:t>
      </w:r>
    </w:p>
    <w:p>
      <w:pPr>
        <w:numPr>
          <w:numId w:val="16"/>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20-25,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Pharmacists in Japan and Vision of the Future- Focus on Community Pharmacy, </w:t>
      </w:r>
      <w:r>
        <w:rPr>
          <w:rFonts w:ascii="" w:hAnsi="" w:cs="" w:eastAsia=""/>
          <w:b w:val="false"/>
          <w:i w:val="true"/>
          <w:strike w:val="false"/>
          <w:color w:val="000000"/>
          <w:sz w:val="20"/>
          <w:u w:val="none"/>
        </w:rPr>
        <w:t xml:space="preserve">第2回韓国・徳島大学薬学部学生交流シンポジウム,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208-216,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4556-4570,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false"/>
          <w:strike w:val="false"/>
          <w:color w:val="000000"/>
          <w:sz w:val="20"/>
          <w:u w:val="none"/>
        </w:rPr>
        <w:t>873-877,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9-13,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548-557,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w:t>
      </w:r>
      <w:r>
        <w:rPr>
          <w:rFonts w:ascii="" w:hAnsi="" w:cs="" w:eastAsia=""/>
          <w:b w:val="false"/>
          <w:i w:val="true"/>
          <w:strike w:val="false"/>
          <w:color w:val="000000"/>
          <w:sz w:val="20"/>
          <w:u w:val="none"/>
        </w:rPr>
        <w:t>Saccharomyces cerevisiae</w:t>
      </w:r>
      <w:r>
        <w:rPr>
          <w:rFonts w:ascii="" w:hAnsi="" w:cs="" w:eastAsia=""/>
          <w:b w:val="false"/>
          <w:i w:val="false"/>
          <w:strike w:val="false"/>
          <w:color w:val="000000"/>
          <w:sz w:val="20"/>
          <w:u w:val="none"/>
        </w:rPr>
        <w:t xml:space="preserv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1141-1154,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62-70,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25"/>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26"/>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