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efficient anticancer therapeutic strategy targeting PARP activation., Special Poster Presentation Award, The Korean Society of Pharmacology,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パーキンソン病モデルマウスの病態解析と薬効評価,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