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5"/>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5"/>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1486-1496,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7"/>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1425-1429,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9"/>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9"/>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1861, </w:t>
      </w:r>
      <w:r>
        <w:rPr>
          <w:rFonts w:ascii="" w:hAnsi="" w:cs="" w:eastAsia=""/>
          <w:b w:val="false"/>
          <w:i w:val="true"/>
          <w:strike w:val="false"/>
          <w:color w:val="000000"/>
          <w:sz w:val="20"/>
          <w:u w:val="none"/>
        </w:rPr>
        <w:t xml:space="preserve">12 pt A, </w:t>
      </w:r>
      <w:r>
        <w:rPr>
          <w:rFonts w:ascii="" w:hAnsi="" w:cs="" w:eastAsia=""/>
          <w:b w:val="false"/>
          <w:i w:val="false"/>
          <w:strike w:val="false"/>
          <w:color w:val="000000"/>
          <w:sz w:val="20"/>
          <w:u w:val="none"/>
        </w:rPr>
        <w:t>1881-1892,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48-50,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0"/>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439-443,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0"/>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12"/>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37-44,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62-70,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 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15"/>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5"/>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15"/>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2553, 2023.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16"/>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1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373, </w:t>
      </w:r>
      <w:r>
        <w:rPr>
          <w:rFonts w:ascii="" w:hAnsi="" w:cs="" w:eastAsia=""/>
          <w:b w:val="false"/>
          <w:i w:val="false"/>
          <w:strike w:val="false"/>
          <w:color w:val="000000"/>
          <w:sz w:val="20"/>
          <w:u w:val="none"/>
        </w:rPr>
        <w:t>917-928,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316-323,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Jan.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Feb.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106617, 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田井 達也, 山口 佳津騎, 住吉 健太, 多田 篤史, 黒川 直弘, 元木 貴大, 田中 裕章, 小坂 信二,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バンコマイシンの血中濃度-時間曲線下面積の推定のための最適な採血時間:4つのベイジアンソフトウェアの精度検証,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智滉, 佐川 喬也, 岡崎 萌水,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久保 亨, 兵頭 勇己, 常風 興平, 北岡 裕章, 浜田 幸宏 : </w:t>
      </w:r>
      <w:r>
        <w:rPr>
          <w:rFonts w:ascii="" w:hAnsi="" w:cs="" w:eastAsia=""/>
          <w:b w:val="false"/>
          <w:i w:val="false"/>
          <w:strike w:val="false"/>
          <w:color w:val="000000"/>
          <w:sz w:val="20"/>
          <w:u w:val="none"/>
        </w:rPr>
        <w:t xml:space="preserve">心不全患者における服薬アドヒアランス評価スコアの作成―非代償性心不全患者を対象とした前向きコホート研究―,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武久 京楓, 吉田 碧人, 内藤 芽衣,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西岡 安彦,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humLpMab-23f の in vivo における検討,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西田 基紀,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田村 尚久, 川添 哲嗣, 常風 興平, 浜田 幸宏 : </w:t>
      </w:r>
      <w:r>
        <w:rPr>
          <w:rFonts w:ascii="" w:hAnsi="" w:cs="" w:eastAsia=""/>
          <w:b w:val="false"/>
          <w:i w:val="false"/>
          <w:strike w:val="false"/>
          <w:color w:val="000000"/>
          <w:sz w:val="20"/>
          <w:u w:val="none"/>
        </w:rPr>
        <w:t xml:space="preserve">マウスミクログリア由来BV2細胞に対する生姜由来ELNsの抗神経炎症作用,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p>
      <w:pPr>
        <w:numPr>
          <w:numId w:val="1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18"/>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陽花,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神経セロイドリポフスチン症の新規発症機構の提示, </w:t>
      </w:r>
      <w:r>
        <w:rPr>
          <w:rFonts w:ascii="" w:hAnsi="" w:cs="" w:eastAsia=""/>
          <w:b w:val="false"/>
          <w:i w:val="true"/>
          <w:strike w:val="false"/>
          <w:color w:val="000000"/>
          <w:sz w:val="20"/>
          <w:u w:val="none"/>
        </w:rPr>
        <w:t xml:space="preserve">第23回四国免疫フォーラム,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