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119-122, 2015.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Nov.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987-993,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1188-1195,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1315-1323,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204-208,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720-725, 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1059-1065,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315-318,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256-264, Jan.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757-762, Feb. 2016.</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9"/>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12"/>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大前 奈央 : </w:t>
      </w:r>
      <w:r>
        <w:rPr>
          <w:rFonts w:ascii="" w:hAnsi="" w:cs="" w:eastAsia=""/>
          <w:b w:val="false"/>
          <w:i w:val="false"/>
          <w:strike w:val="false"/>
          <w:color w:val="000000"/>
          <w:sz w:val="20"/>
          <w:u w:val="none"/>
        </w:rPr>
        <w:t xml:space="preserve">下咽頭癌に対し手術療法，術後遊離空腸壊死に対し遊離空腸再再建術を施行した一例,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那須 七海 : </w:t>
      </w:r>
      <w:r>
        <w:rPr>
          <w:rFonts w:ascii="" w:hAnsi="" w:cs="" w:eastAsia=""/>
          <w:b w:val="false"/>
          <w:i w:val="false"/>
          <w:strike w:val="false"/>
          <w:color w:val="000000"/>
          <w:sz w:val="20"/>
          <w:u w:val="none"/>
        </w:rPr>
        <w:t xml:space="preserve">膵頭十二指腸切除後に免疫低下と経口摂取不良が見られた膵頭十二指腸癌患者の一例,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YAMANAKA Ayaka : </w:t>
      </w:r>
      <w:r>
        <w:rPr>
          <w:rFonts w:ascii="" w:hAnsi="" w:cs="" w:eastAsia=""/>
          <w:b w:val="false"/>
          <w:i w:val="false"/>
          <w:strike w:val="false"/>
          <w:color w:val="000000"/>
          <w:sz w:val="20"/>
          <w:u w:val="none"/>
        </w:rPr>
        <w:t xml:space="preserve">Association of pre-chemoradiotherapy phase angle with muscle function and prognosis in patients with hea and neck cancer, </w:t>
      </w:r>
      <w:r>
        <w:rPr>
          <w:rFonts w:ascii="" w:hAnsi="" w:cs="" w:eastAsia=""/>
          <w:b w:val="false"/>
          <w:i w:val="false"/>
          <w:strike w:val="false"/>
          <w:color w:val="000000"/>
          <w:sz w:val="20"/>
          <w:u w:val="none"/>
        </w:rPr>
        <w:t>Feb.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943, Feb.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1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16"/>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