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徳一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「自らの就業力向上を促す巣立ちプログラム」とそれに基づく初年次キャリア教育の実践,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大学教育研究ジャーナル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141-151, 2012年.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徳一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4年一貫就業力育成プログラムとそれに基づく初年時キャリア教育, --- 大学生の就業力育成支援事業採択[自らの就業力向上を促す巣立ちプログラム]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平成23年度全学FD大学教育カンファレンスin徳島(徳島大学大学開放実践センター),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2012年1月.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徳一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松尾 誠治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文部科学省大学生の就業力育成支援事業「自らの就業力向上を促す巣立ちプログラム-社会における確かな「居場所と出番」を見つける力を培うキャリア教育-」平成22・23年度成果報告書,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1-62, 2012年3月.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徳一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山野 明美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巣立ちプログラムに基づく1年次学生を対象としたキャリア教育の実践と2年次授業 におけるPBLの試み,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徳島大学大学教育研究ジャーナル,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133-142, 2013年.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山野 明美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徳一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産業界等との連携による中国・四国地域人材育成事業の展開-平成24年度「産業界の ニーズに対応した教育改善・充実事業」-,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徳島大学大学教育研究ジャーナル,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80-88, 2013年.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徳一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山野 明美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学生自らの就業力向上を促す巣立ちプログラム,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とくTalk(徳大広報),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No.149,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2012年10月.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徳一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山野 明美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特集 徳島大学の就職支援への取り組み 「学生自らの就業力向上を促す巣立プログラム」」,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徳大広報 とくtalk,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No.149,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1-2, 2013年3月.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山野 明美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キャリア学習のためのPBL型学習事例報告 ―男女共同参画とグローバル人材―,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徳島大学大学教育研究ジャーナル,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81-100, 2014年.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山野 明美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大渕 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キャリア教育におけるインターンシップの実践と課題 ―大人数講義における事前学習の効果に関する考察―,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徳島大学大学教育研究ジャーナル,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51-64, 2014年.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畠 一樹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初年次学生の行動特性把握によるEQ能力開発手法の提案,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大学教育研究ジャーナル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23-37, 2016年.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畠 一樹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大人数制キャリア教育における効果的手法の開発と検証 ―アクティブ・ラーニングによる社会人基礎力の育成―,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平成27年度 FD促進プログラム 大学教育カンファレンスin徳島 発表抄録集,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74-75, 2016年1月.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畠 一樹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キャリア形成支援における学生の成長度測定に関する一考察,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平成29年度 全学FD推進プログラム 大学教育カンファレンスin徳島 発表抄録集,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66-67, 2018年1月.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畠 一樹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キャリア形成目標に応じたインターンシップ・プログラム作成に関する提案,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日本インターンシップ学会 第19回 発表要旨集,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66-67, 2018年9月.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原田 紹臣(三井共同建設コンサルタント株式会社), 三上 卓(エイト日本技術開発株式会社),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畠 一樹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地区防災力の向上に向けた取組み及び防災ハザード・マップにおける課題抽出,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安全問題討論会'18資料集,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175-180, 2018年11月.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畠 一樹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川崎 克寛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ジェネリックスキルの教育効果を高める実践力養成型インターンシップに関する一考察,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平成30年度全学FD推進プログラム 大学教育カンファレンスin徳島 発表抄録集,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68-69, 2018年12月.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