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Uesugi, Ken-Ichi Kozaki, Tomohiko Tsuruta, Mayuko Furuta, Kei-Ichi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Ken-Ichi Kozaki, Atsushi Uesugi,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e0140480,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335-343,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E3816-25,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1082-1086,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28796-28804,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2972-2983,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2357-2369,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1295-1306,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第34階日本疫学会学術総会,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none"/>
        </w:rPr>
        <w:t xml:space="preserve">Cureus,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Takashimα,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