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Nakano : </w:t>
      </w:r>
      <w:r>
        <w:rPr>
          <w:rFonts w:ascii="" w:hAnsi="" w:cs="" w:eastAsia=""/>
          <w:b w:val="false"/>
          <w:i w:val="false"/>
          <w:strike w:val="false"/>
          <w:color w:val="000000"/>
          <w:sz w:val="20"/>
          <w:u w:val="none"/>
        </w:rPr>
        <w:t xml:space="preserve">Smy2p participates in COPII vesicle formation through the interaction with Sec23p/Sec24p subcomplex, </w:t>
      </w:r>
      <w:r>
        <w:rPr>
          <w:rFonts w:ascii="" w:hAnsi="" w:cs="" w:eastAsia=""/>
          <w:b w:val="false"/>
          <w:i w:val="true"/>
          <w:strike w:val="false"/>
          <w:color w:val="000000"/>
          <w:sz w:val="20"/>
          <w:u w:val="single"/>
        </w:rPr>
        <w:t>Traffic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426-427,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4162-4173,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1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1分子の構造変化から観た細胞運動の制御機構, </w:t>
      </w:r>
      <w:r>
        <w:rPr>
          <w:rFonts w:ascii="" w:hAnsi="" w:cs="" w:eastAsia=""/>
          <w:b w:val="false"/>
          <w:i w:val="true"/>
          <w:strike w:val="false"/>
          <w:color w:val="000000"/>
          <w:sz w:val="20"/>
          <w:u w:val="none"/>
        </w:rPr>
        <w:t xml:space="preserve">第6回生命科学阿波踊りシンポジウム,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2719-2734,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715-722,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742-755,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16449-16463,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