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3516-3524,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437-442, 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3169-3174,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6168-6178,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2995-3003,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2608-2614,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5943-5948,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3325-3332,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1965-1969,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556-561,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2828-2839,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291-303,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734-739,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2955-2964,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e53829,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751-757,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382-386,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2275-2279,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e0139692,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1978-1985,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582-585,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Notch-STAT5b Signaling Regulates the TCRαβ+CD8αα+ Intraepithelial Lymphocytes in the Small Intestine., </w:t>
      </w:r>
      <w:r>
        <w:rPr>
          <w:rFonts w:ascii="" w:hAnsi="" w:cs="" w:eastAsia=""/>
          <w:b w:val="false"/>
          <w:i w:val="true"/>
          <w:strike w:val="false"/>
          <w:color w:val="000000"/>
          <w:sz w:val="20"/>
          <w:u w:val="none"/>
        </w:rPr>
        <w:t xml:space="preserve">4th joint meeting; Tokushima University, KAIST and Seoul National University, </w:t>
      </w:r>
      <w:r>
        <w:rPr>
          <w:rFonts w:ascii="" w:hAnsi="" w:cs="" w:eastAsia=""/>
          <w:b w:val="false"/>
          <w:i w:val="false"/>
          <w:strike w:val="false"/>
          <w:color w:val="000000"/>
          <w:sz w:val="20"/>
          <w:u w:val="none"/>
        </w:rPr>
        <w:t>Oct. 2015.</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26791, 2016.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12597, 2016.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1989-1997,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E10151-E10160,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1824-1838,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505-510,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642-646,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2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2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