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963-976,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4563-4578,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1413, 2017.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272-279,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34-40,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2542,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13560,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HIV-1複製能を変動させるSA3周辺の新規塩基配列領域の解析,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