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正朋, 小島 愛,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川島 正裕,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松崎 泰之, 玉木 康民, 木村 成昭, 武市 俊彰, 藤本 浩史, 増田 和彦, 白神 あきら, 今川 大仁, 元木 康文, 元木 健二, 大島 千寿子, 澤 靖彦, 田口 義行 : </w:t>
      </w:r>
      <w:r>
        <w:rPr>
          <w:rFonts w:ascii="" w:hAnsi="" w:cs="" w:eastAsia=""/>
          <w:b w:val="false"/>
          <w:i w:val="false"/>
          <w:strike w:val="false"/>
          <w:color w:val="000000"/>
          <w:sz w:val="20"/>
          <w:u w:val="none"/>
        </w:rPr>
        <w:t xml:space="preserve">白血球・血小板減少を契機に診断されたパルボウイルスB19感染症の成人の8例,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1611-1615,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動脈硬化と高脂血症,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69-74,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690-695,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1679-1684,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1518-1523,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266-267,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324-331,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2012.</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878065, 2011.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1274-1281,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14-17,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395-397,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2135-2141,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1008-1020,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577-583,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697-702,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1068-1073,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518-523,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692-698,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522-532,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696-698,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1464-1471,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1801-1807,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VI84,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