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154, 2015.</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Network Metabolic Changes in Patients with Parkinsonian Tremors, </w:t>
      </w:r>
      <w:r>
        <w:rPr>
          <w:rFonts w:ascii="" w:hAnsi="" w:cs="" w:eastAsia=""/>
          <w:b w:val="false"/>
          <w:i w:val="true"/>
          <w:strike w:val="false"/>
          <w:color w:val="000000"/>
          <w:sz w:val="20"/>
          <w:u w:val="none"/>
        </w:rPr>
        <w:t xml:space="preserve">Challenges in Parkinson's Disease,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2016.</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586-588, 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1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1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