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Caveolin-1 Potentiates Src and Akt Signaling in Isoflurane-Induced Cardiac Protection, Young Scientist Travel Award, The American Society for Pharmacology and Experimental Therapeutics,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Caveolin-1 Potentiates Src and Akt Signaling in Isoflurane-Induced Cardiac Protection, ASPET Post-Doctoral Scientist Best Abstract Award, The American Society for Pharmacology and Experimental Therapeutics, 2007年4月.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オピオイドプレコンディショニングの細胞膜ドメインに及ぼす影響, 最優秀演題賞(生理学・その他),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2009年8月.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麻酔薬が膵臓β細胞のATP感受性K+チャネルに及ぼす影響, 日本麻酔科学会第57回学術集会 最優秀演題賞, 日本麻酔科学会, 2010年6月.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早期集中治療におけるPEPTAMEN AFの有効性の検討, Nutri Young Investigator Award, 日本静脈経腸栄養学会,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麻酔薬や血管作動薬が血管平滑筋細胞と膵臓β細胞のATP感受性K+チャネルに及ぼす影響, 日本麻酔科学会 山村記念賞,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最優秀演題賞 循環(基礎),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最優秀演題賞 呼吸(臨床),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