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Proceedings of the International Simposium on Neuroscience in Orofacial sensory-motor functions 2015,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The International Simposium on Neuroscience in Orofacial sensory-motor functions,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none"/>
        </w:rPr>
        <w:t xml:space="preserve">第47回四国歯学会,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 --- 唾液腺の構造と機能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No.504, </w:t>
      </w:r>
      <w:r>
        <w:rPr>
          <w:rFonts w:ascii="" w:hAnsi="" w:cs="" w:eastAsia=""/>
          <w:b w:val="false"/>
          <w:i w:val="false"/>
          <w:strike w:val="false"/>
          <w:color w:val="000000"/>
          <w:sz w:val="20"/>
          <w:u w:val="none"/>
        </w:rPr>
        <w:t>73-81,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105561, 2019.</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59-65,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126954, 2020.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false"/>
          <w:strike w:val="false"/>
          <w:color w:val="000000"/>
          <w:sz w:val="20"/>
          <w:u w:val="none"/>
        </w:rPr>
        <w:t>146-154,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112531, 2021.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28-37,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116180, 2024.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116580, 2024.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3358-3369,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Yamamoto, Ryota Sada, Akikazu Harada, </w:t>
      </w:r>
      <w:r>
        <w:rPr>
          <w:rFonts w:ascii="" w:hAnsi="" w:cs="" w:eastAsia=""/>
          <w:b w:val="true"/>
          <w:i w:val="false"/>
          <w:strike w:val="false"/>
          <w:color w:val="000000"/>
          <w:sz w:val="20"/>
          <w:u w:val="single"/>
        </w:rPr>
        <w:t>Shinji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Annexin A2 mediates plasma membrane localization of CKAP4, a dickkopf1 receptor, in cancer cells.,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