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Ⅳ感染症の検体検査 6. 口腔感染症,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568-575,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413-418,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391-396,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666-670,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659-664,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Suppl 2, </w:t>
      </w:r>
      <w:r>
        <w:rPr>
          <w:rFonts w:ascii="" w:hAnsi="" w:cs="" w:eastAsia=""/>
          <w:b w:val="false"/>
          <w:i w:val="false"/>
          <w:strike w:val="false"/>
          <w:color w:val="000000"/>
          <w:sz w:val="20"/>
          <w:u w:val="none"/>
        </w:rPr>
        <w:t>S151-8,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厚枝, 岩本 明子, 大前 侑子, 島津 篤, 天野 秀昭,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柄 俊彦, 足利 奈々, 川野 沙織, 森山 幸奈, 松添 香菜子, 大内 亜由美, 宮迫 志織, 沖田 紗季, 室井 奈央, 室井 茉央, Erusu Nin, 安藤 俊範, 吉本 哲也, 大谷 聡子, 岩本 優子, 児玉 紀子, 角本 法子, 香西 克之, </w:t>
      </w:r>
      <w:r>
        <w:rPr>
          <w:rFonts w:ascii="" w:hAnsi="" w:cs="" w:eastAsia=""/>
          <w:b w:val="true"/>
          <w:i w:val="false"/>
          <w:strike w:val="false"/>
          <w:color w:val="000000"/>
          <w:sz w:val="20"/>
          <w:u w:val="single"/>
        </w:rPr>
        <w:t>西村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カンボジアの小学生における歯科支援活動報告, 広島大学歯学会, </w:t>
      </w:r>
      <w:r>
        <w:rPr>
          <w:rFonts w:ascii="" w:hAnsi="" w:cs="" w:eastAsia=""/>
          <w:b w:val="false"/>
          <w:i w:val="false"/>
          <w:strike w:val="false"/>
          <w:color w:val="000000"/>
          <w:sz w:val="20"/>
          <w:u w:val="single"/>
        </w:rPr>
        <w:t>広島</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Chapter2 歯の硬組織欠損の種類, クインテッセンス株式会社,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Keiko Tsuruda, Yuko Iwamoto, Fuminori Kato, Teruko Odaki, Nobuko Yamane, Yuriko Hori, Yuka Harashima, Ayako Sakoda, Akira Tagaya, Hitoshi Komatsuzawa, </w:t>
      </w:r>
      <w:r>
        <w:rPr>
          <w:rFonts w:ascii="" w:hAnsi="" w:cs="" w:eastAsia=""/>
          <w:b w:val="true"/>
          <w:i w:val="false"/>
          <w:strike w:val="false"/>
          <w:color w:val="000000"/>
          <w:sz w:val="20"/>
          <w:u w:val="single"/>
        </w:rPr>
        <w:t>Motoyuki Sugai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Noguchi : </w:t>
      </w:r>
      <w:r>
        <w:rPr>
          <w:rFonts w:ascii="" w:hAnsi="" w:cs="" w:eastAsia=""/>
          <w:b w:val="false"/>
          <w:i w:val="false"/>
          <w:strike w:val="false"/>
          <w:color w:val="000000"/>
          <w:sz w:val="20"/>
          <w:u w:val="none"/>
        </w:rPr>
        <w:t xml:space="preserve">Significant increase of oral bacteria in the early pregnancy period in Japanese women, </w:t>
      </w:r>
      <w:r>
        <w:rPr>
          <w:rFonts w:ascii="" w:hAnsi="" w:cs="" w:eastAsia=""/>
          <w:b w:val="false"/>
          <w:i w:val="true"/>
          <w:strike w:val="false"/>
          <w:color w:val="000000"/>
          <w:sz w:val="20"/>
          <w:u w:val="single"/>
        </w:rPr>
        <w:t>Journal of Investigative and Clinical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282-293,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1124-1129,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1520-1526,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1380-1385,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1198-1206,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128,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165731, 2020.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1149-1156,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166236, 2021.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49-59,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365-372,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21"/>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1696-1709,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