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23-31,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0"/>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73-90, 2015年.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2016年.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39-55,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