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2093-2103,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694-703, 2008.</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621-633,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327-332,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112-116,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850-860,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1796-1805,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4564-4570,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124-128,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10283-10289,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2013.</w:t>
      </w:r>
    </w:p>
    <w:p>
      <w:pPr>
        <w:numPr>
          <w:numId w:val="14"/>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1653-1660,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1037-1042,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802-814,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5459-5465,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4179-4184,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2799-2804,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