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536-537,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543,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16-23,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57-59,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113-123,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