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61-65,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237,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1161-1165,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28-33,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17-23,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17-22,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834-836,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31-35,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71-80,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25-27,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31-35,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23-27,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5-11,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