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ARI, </w:t>
      </w:r>
      <w:r>
        <w:rPr>
          <w:rFonts w:ascii="" w:hAnsi="" w:cs="" w:eastAsia=""/>
          <w:b w:val="false"/>
          <w:i w:val="true"/>
          <w:strike w:val="false"/>
          <w:color w:val="000000"/>
          <w:sz w:val="20"/>
          <w:u w:val="none"/>
        </w:rPr>
        <w:t xml:space="preserve">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19-26,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066009-1-8,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84-86,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1205101,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14609-14613,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328-333, 2019.</w:t>
      </w:r>
    </w:p>
    <w:p>
      <w:pPr>
        <w:numPr>
          <w:numId w:val="16"/>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C09039,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