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174-182,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216-224,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203-207,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74-81,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247-252,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997-1003,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165-170,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