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K Tsujigami, H Fukuno, S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Yamanoi : </w:t>
      </w:r>
      <w:r>
        <w:rPr>
          <w:rFonts w:ascii="" w:hAnsi="" w:cs="" w:eastAsia=""/>
          <w:b w:val="false"/>
          <w:i w:val="false"/>
          <w:strike w:val="false"/>
          <w:color w:val="000000"/>
          <w:sz w:val="20"/>
          <w:u w:val="none"/>
        </w:rPr>
        <w:t xml:space="preserve">Visceral fat predominance is associated with non-alcoholic fatty liver disease in Japanese women with metabolic syndrome.,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512-522, 2014.</w:t>
      </w:r>
    </w:p>
    <w:p>
      <w:pPr>
        <w:numPr>
          <w:numId w:val="5"/>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&lt;シンポジウム&gt;メタボリック症候群の逆流性食道炎における生活習慣病および内臓脂肪の影響について., </w:t>
      </w:r>
      <w:r>
        <w:rPr>
          <w:rFonts w:ascii="" w:hAnsi="" w:cs="" w:eastAsia=""/>
          <w:b w:val="false"/>
          <w:i w:val="true"/>
          <w:strike w:val="false"/>
          <w:color w:val="000000"/>
          <w:sz w:val="20"/>
          <w:u w:val="none"/>
        </w:rPr>
        <w:t xml:space="preserve">第55回日本消化器病学会大会シンポジウム, 東京, </w:t>
      </w:r>
      <w:r>
        <w:rPr>
          <w:rFonts w:ascii="" w:hAnsi="" w:cs="" w:eastAsia=""/>
          <w:b w:val="false"/>
          <w:i w:val="false"/>
          <w:strike w:val="false"/>
          <w:color w:val="000000"/>
          <w:sz w:val="20"/>
          <w:u w:val="none"/>
        </w:rPr>
        <w:t>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Jul.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26-27,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257-268,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3"/>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4"/>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緒方良輔 (名), 小松崇俊 (名), 佐藤翔平 (名), 妹尾知怜 (名), 角安明里 (名), 小林誠司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6"/>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