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1059-1064,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252-255,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稲次 正敬, 稲次 美樹子, 稲次 圭 : </w:t>
      </w:r>
      <w:r>
        <w:rPr>
          <w:rFonts w:ascii="" w:hAnsi="" w:cs="" w:eastAsia=""/>
          <w:b w:val="false"/>
          <w:i w:val="false"/>
          <w:strike w:val="false"/>
          <w:color w:val="000000"/>
          <w:sz w:val="20"/>
          <w:u w:val="none"/>
        </w:rPr>
        <w:t xml:space="preserve">日本人女性サルコペニアにおける身体各部位の骨密度と軟部組織組成の特徴,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カンファレンスや記録でもう困らない!整形外科でよく使われる評価法がわかる!まるごとガイド 第1特集 脊椎,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32-41, 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172-177,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868-874,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163-171, 2016.</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985-994, 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97-108, 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1073-1078,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39-46, 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556-561,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1635-1637, 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51-54,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S64-S69, 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