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2004年度工学部優秀教員表彰,THE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平成17年度機械工学科優秀教育賞, 平成17年度機械工学科優秀教育賞,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大内 祐樹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社会産業理工学研究交流会2024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