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シャトルベクター, 特願2004-380940 (2004年12月), 特開2006-180843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西矢 芳昭 : </w:t>
      </w:r>
      <w:r>
        <w:rPr>
          <w:rFonts w:ascii="" w:hAnsi="" w:cs="" w:eastAsia=""/>
          <w:b w:val="false"/>
          <w:i w:val="false"/>
          <w:strike w:val="false"/>
          <w:color w:val="000000"/>
          <w:sz w:val="20"/>
          <w:u w:val="none"/>
        </w:rPr>
        <w:t>タンパク質を製造する方法, 特願2005-227282 (2005年8月), 特開2007-37498 (2007年2月),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ストレプトマイセス属微生物における遺伝子高発現系, 特願2005-244690 (2005年8月), 特開2007-53994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武井 謙典, 藤田 理英子 : </w:t>
      </w:r>
      <w:r>
        <w:rPr>
          <w:rFonts w:ascii="" w:hAnsi="" w:cs="" w:eastAsia=""/>
          <w:b w:val="false"/>
          <w:i w:val="false"/>
          <w:strike w:val="false"/>
          <w:color w:val="000000"/>
          <w:sz w:val="20"/>
          <w:u w:val="none"/>
        </w:rPr>
        <w:t>新規物質TMR, 特願2006-81893 (2006年3月), 特開2007-254399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