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585-597,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163-174,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1723-1728,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1222-1232,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3877-3883,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3849-3854,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64-70,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9-18,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300-306,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113-117,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2P-Aa63, </w:t>
      </w:r>
      <w:r>
        <w:rPr>
          <w:rFonts w:ascii="" w:hAnsi="" w:cs="" w:eastAsia=""/>
          <w:b w:val="false"/>
          <w:i w:val="false"/>
          <w:strike w:val="false"/>
          <w:color w:val="000000"/>
          <w:sz w:val="20"/>
          <w:u w:val="none"/>
        </w:rPr>
        <w:t>200,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2P-Aa08,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1S2-Bp02, </w:t>
      </w:r>
      <w:r>
        <w:rPr>
          <w:rFonts w:ascii="" w:hAnsi="" w:cs="" w:eastAsia=""/>
          <w:b w:val="false"/>
          <w:i w:val="false"/>
          <w:strike w:val="false"/>
          <w:color w:val="000000"/>
          <w:sz w:val="20"/>
          <w:u w:val="none"/>
        </w:rPr>
        <w:t>118,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129,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P-101, </w:t>
      </w:r>
      <w:r>
        <w:rPr>
          <w:rFonts w:ascii="" w:hAnsi="" w:cs="" w:eastAsia=""/>
          <w:b w:val="false"/>
          <w:i w:val="false"/>
          <w:strike w:val="false"/>
          <w:color w:val="000000"/>
          <w:sz w:val="20"/>
          <w:u w:val="none"/>
        </w:rPr>
        <w:t>75,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22-H6,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8-70,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false"/>
          <w:strike w:val="false"/>
          <w:color w:val="000000"/>
          <w:sz w:val="20"/>
          <w:u w:val="none"/>
        </w:rPr>
        <w:t>303-310,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4319-4325,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4299-4304,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4241-4245,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2064-2071,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e0205915,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2423-2432,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52-56,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433-439,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52-58,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137-142,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305-316,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65-66,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2078-2084,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109,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2P-Ca51, </w:t>
      </w:r>
      <w:r>
        <w:rPr>
          <w:rFonts w:ascii="" w:hAnsi="" w:cs="" w:eastAsia=""/>
          <w:b w:val="false"/>
          <w:i w:val="false"/>
          <w:strike w:val="false"/>
          <w:color w:val="000000"/>
          <w:sz w:val="20"/>
          <w:u w:val="none"/>
        </w:rPr>
        <w:t>232,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2P-Ca50, </w:t>
      </w:r>
      <w:r>
        <w:rPr>
          <w:rFonts w:ascii="" w:hAnsi="" w:cs="" w:eastAsia=""/>
          <w:b w:val="false"/>
          <w:i w:val="false"/>
          <w:strike w:val="false"/>
          <w:color w:val="000000"/>
          <w:sz w:val="20"/>
          <w:u w:val="none"/>
        </w:rPr>
        <w:t>231,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E-35,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238-247,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752-757,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1304-1307,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3553-3563,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4479-4483,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110322, 2019.</w:t>
      </w:r>
    </w:p>
    <w:p>
      <w:pPr>
        <w:numPr>
          <w:numId w:val="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2020.</w:t>
      </w:r>
    </w:p>
    <w:p>
      <w:pPr>
        <w:numPr>
          <w:numId w:val="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81-82,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1P-AC42, </w:t>
      </w:r>
      <w:r>
        <w:rPr>
          <w:rFonts w:ascii="" w:hAnsi="" w:cs="" w:eastAsia=""/>
          <w:b w:val="false"/>
          <w:i w:val="false"/>
          <w:strike w:val="false"/>
          <w:color w:val="000000"/>
          <w:sz w:val="20"/>
          <w:u w:val="none"/>
        </w:rPr>
        <w:t>85,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1S1-Bp02, </w:t>
      </w:r>
      <w:r>
        <w:rPr>
          <w:rFonts w:ascii="" w:hAnsi="" w:cs="" w:eastAsia=""/>
          <w:b w:val="false"/>
          <w:i w:val="false"/>
          <w:strike w:val="false"/>
          <w:color w:val="000000"/>
          <w:sz w:val="20"/>
          <w:u w:val="none"/>
        </w:rPr>
        <w:t>141,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2W-P15-02,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183197, 2020.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104483, 2020.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2736-2755,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4675-4680,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6139-6146,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19363, 2020.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e01239-20,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147-148,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149-150,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549, </w:t>
      </w:r>
      <w:r>
        <w:rPr>
          <w:rFonts w:ascii="" w:hAnsi="" w:cs="" w:eastAsia=""/>
          <w:b w:val="false"/>
          <w:i w:val="false"/>
          <w:strike w:val="false"/>
          <w:color w:val="000000"/>
          <w:sz w:val="20"/>
          <w:u w:val="none"/>
        </w:rPr>
        <w:t>105-112,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9-16,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4083-4088,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105119, 2021.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5019-5028,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6245-6254,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6261-6272,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96-111,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12"/>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