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「協働―官民関係は何をもたらすのか―」坂本治也編『市民社会論 理論と実証の最前線』,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協働・ネットワークの評価-パフォーマンス評価の枠組みに着目して-,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平和学とは，平和とは : 〈理想と現実〉〈理性と情動〉の交錯, </w:t>
      </w:r>
      <w:r>
        <w:rPr>
          <w:rFonts w:ascii="" w:hAnsi="" w:cs="" w:eastAsia=""/>
          <w:b w:val="false"/>
          <w:i w:val="true"/>
          <w:strike w:val="false"/>
          <w:color w:val="000000"/>
          <w:sz w:val="20"/>
          <w:u w:val="none"/>
        </w:rPr>
        <w:t xml:space="preserve">大阪女学院大学紀要,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103-120,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 integrated assessment of the performance of photovoltaic power stations for electricity generation, </w:t>
      </w:r>
      <w:r>
        <w:rPr>
          <w:rFonts w:ascii="" w:hAnsi="" w:cs="" w:eastAsia=""/>
          <w:b w:val="false"/>
          <w:i w:val="true"/>
          <w:strike w:val="false"/>
          <w:color w:val="000000"/>
          <w:sz w:val="20"/>
          <w:u w:val="single"/>
        </w:rPr>
        <w:t>Applied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167-174, 2017.</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 の復興支援活動―参加要因と雇用への影響―, </w:t>
      </w:r>
      <w:r>
        <w:rPr>
          <w:rFonts w:ascii="" w:hAnsi="" w:cs="" w:eastAsia=""/>
          <w:b w:val="false"/>
          <w:i w:val="true"/>
          <w:strike w:val="false"/>
          <w:color w:val="000000"/>
          <w:sz w:val="20"/>
          <w:u w:val="none"/>
        </w:rPr>
        <w:t xml:space="preserve">NPOの就労に関する研究 ―恒常的成長と震災を機とした変化を捉える─(労働政策研究報告書 No.183), </w:t>
      </w:r>
      <w:r>
        <w:rPr>
          <w:rFonts w:ascii="" w:hAnsi="" w:cs="" w:eastAsia=""/>
          <w:b w:val="false"/>
          <w:i w:val="false"/>
          <w:strike w:val="false"/>
          <w:color w:val="000000"/>
          <w:sz w:val="20"/>
          <w:u w:val="none"/>
        </w:rPr>
        <w:t>245-262,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米国投資会社によるアクティビズム促進のための投資会社法改革論の展開,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41-152,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「平和安全法制」(安保法制あるいは「戦争法」)の是非を考察するための総論的枠組み -詐欺的手法で立憲主義を破壊し日本の安全は確保できるのか-,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カリフォルニア州におけるベンチャーキャピタル規制―キャピタルアクセス会社法の検討―, </w:t>
      </w:r>
      <w:r>
        <w:rPr>
          <w:rFonts w:ascii="" w:hAnsi="" w:cs="" w:eastAsia=""/>
          <w:b w:val="false"/>
          <w:i w:val="true"/>
          <w:strike w:val="false"/>
          <w:color w:val="000000"/>
          <w:sz w:val="20"/>
          <w:u w:val="none"/>
        </w:rPr>
        <w:t xml:space="preserve">小田敬美ほか編『市民生活と現代法理論』三谷忠之先生古稀祝賀論文集, </w:t>
      </w:r>
      <w:r>
        <w:rPr>
          <w:rFonts w:ascii="" w:hAnsi="" w:cs="" w:eastAsia=""/>
          <w:b w:val="false"/>
          <w:i w:val="false"/>
          <w:strike w:val="false"/>
          <w:color w:val="000000"/>
          <w:sz w:val="20"/>
          <w:u w:val="none"/>
        </w:rPr>
        <w:t>207-225,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235-253,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219-237,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172-189,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176-194,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181-199,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208-222,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197-213,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158-175,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169-186,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291-308,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協働論の再考:行政学を中心とした学際的視点から, </w:t>
      </w:r>
      <w:r>
        <w:rPr>
          <w:rFonts w:ascii="" w:hAnsi="" w:cs="" w:eastAsia=""/>
          <w:b w:val="false"/>
          <w:i w:val="true"/>
          <w:strike w:val="false"/>
          <w:color w:val="000000"/>
          <w:sz w:val="20"/>
          <w:u w:val="none"/>
        </w:rPr>
        <w:t xml:space="preserve">日本行政学会2016年度研究会(明治大学),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地方自治体における協働政策のインパクト, </w:t>
      </w:r>
      <w:r>
        <w:rPr>
          <w:rFonts w:ascii="" w:hAnsi="" w:cs="" w:eastAsia=""/>
          <w:b w:val="false"/>
          <w:i w:val="true"/>
          <w:strike w:val="false"/>
          <w:color w:val="000000"/>
          <w:sz w:val="20"/>
          <w:u w:val="none"/>
        </w:rPr>
        <w:t xml:space="preserve">関西政治社会学会2016年度第4回研究会(同志社大学),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民間R&amp;Dに対する公的支援の効果, </w:t>
      </w:r>
      <w:r>
        <w:rPr>
          <w:rFonts w:ascii="" w:hAnsi="" w:cs="" w:eastAsia=""/>
          <w:b w:val="false"/>
          <w:i w:val="true"/>
          <w:strike w:val="false"/>
          <w:color w:val="000000"/>
          <w:sz w:val="20"/>
          <w:u w:val="none"/>
        </w:rPr>
        <w:t xml:space="preserve">研究・イノベーション学会 第31回年次学術大会,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「NEDOプロジェクトの効果測定及びマネジメントに関する研究」, </w:t>
      </w:r>
      <w:r>
        <w:rPr>
          <w:rFonts w:ascii="" w:hAnsi="" w:cs="" w:eastAsia=""/>
          <w:b w:val="false"/>
          <w:i w:val="true"/>
          <w:strike w:val="false"/>
          <w:color w:val="000000"/>
          <w:sz w:val="20"/>
          <w:u w:val="none"/>
        </w:rPr>
        <w:t xml:space="preserve">国立研究開発法人・新エネルギー・産業技術総合開発機構 研究報告書,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証券事典(証券経済学会，日本証券経済研究所編)―「規制機関とエンフォースメント」, きんざい,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Thermodynamics, --- Relevance, Implications, Misuse and Ways Forward ---, </w:t>
      </w:r>
      <w:r>
        <w:rPr>
          <w:rFonts w:ascii="" w:hAnsi="" w:cs="" w:eastAsia=""/>
          <w:b w:val="false"/>
          <w:i w:val="true"/>
          <w:strike w:val="false"/>
          <w:color w:val="000000"/>
          <w:sz w:val="20"/>
          <w:u w:val="none"/>
        </w:rPr>
        <w:t xml:space="preserve">The Routledge Handbook of Ecological Economics: Nature and Society (Clive Spash, Ed.), </w:t>
      </w:r>
      <w:r>
        <w:rPr>
          <w:rFonts w:ascii="" w:hAnsi="" w:cs="" w:eastAsia=""/>
          <w:b w:val="false"/>
          <w:i w:val="false"/>
          <w:strike w:val="false"/>
          <w:color w:val="000000"/>
          <w:sz w:val="20"/>
          <w:u w:val="none"/>
        </w:rPr>
        <w:t>89-98, 2017.</w:t>
      </w:r>
    </w:p>
    <w:p>
      <w:pPr>
        <w:numPr>
          <w:numId w:val="6"/>
        </w:numPr>
        <w:autoSpaceDE w:val="off"/>
        <w:autoSpaceDN w:val="off"/>
        <w:spacing w:line="-240" w:lineRule="auto"/>
        <w:ind w:left="30"/>
      </w:pPr>
      <w:r>
        <w:rPr>
          <w:rFonts w:ascii="" w:hAnsi="" w:cs="" w:eastAsia=""/>
          <w:b w:val="true"/>
          <w:i w:val="false"/>
          <w:strike w:val="false"/>
          <w:color w:val="000000"/>
          <w:sz w:val="20"/>
          <w:u w:val="none"/>
        </w:rPr>
        <w:t>Aya Okada, Yu Ishida, Takako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Kotagiri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Nonprofit Sector Research in Japan: A Literature Review, </w:t>
      </w:r>
      <w:r>
        <w:rPr>
          <w:rFonts w:ascii="" w:hAnsi="" w:cs="" w:eastAsia=""/>
          <w:b w:val="false"/>
          <w:i w:val="true"/>
          <w:strike w:val="false"/>
          <w:color w:val="000000"/>
          <w:sz w:val="20"/>
          <w:u w:val="single"/>
        </w:rPr>
        <w:t>Voluntaristics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 2017.</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カリフォルニア州キャピタルアクセス会社法(単独訳), </w:t>
      </w:r>
      <w:r>
        <w:rPr>
          <w:rFonts w:ascii="" w:hAnsi="" w:cs="" w:eastAsia=""/>
          <w:b w:val="false"/>
          <w:i w:val="true"/>
          <w:strike w:val="false"/>
          <w:color w:val="000000"/>
          <w:sz w:val="20"/>
          <w:u w:val="none"/>
        </w:rPr>
        <w:t xml:space="preserve">商事法務ポータル,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 P2P ネット金融の現状,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サードセクター組織におけるミッション・ドリフトの発生要因, </w:t>
      </w:r>
      <w:r>
        <w:rPr>
          <w:rFonts w:ascii="" w:hAnsi="" w:cs="" w:eastAsia=""/>
          <w:b w:val="false"/>
          <w:i w:val="true"/>
          <w:strike w:val="false"/>
          <w:color w:val="000000"/>
          <w:sz w:val="20"/>
          <w:u w:val="none"/>
        </w:rPr>
        <w:t xml:space="preserve">RIETI Discussion Paper Series 17-J-068, </w:t>
      </w:r>
      <w:r>
        <w:rPr>
          <w:rFonts w:ascii="" w:hAnsi="" w:cs="" w:eastAsia=""/>
          <w:b w:val="false"/>
          <w:i w:val="false"/>
          <w:strike w:val="false"/>
          <w:color w:val="000000"/>
          <w:sz w:val="20"/>
          <w:u w:val="none"/>
        </w:rPr>
        <w:t>1-16,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米国投資会社法における持合禁止規定, </w:t>
      </w:r>
      <w:r>
        <w:rPr>
          <w:rFonts w:ascii="" w:hAnsi="" w:cs="" w:eastAsia=""/>
          <w:b w:val="false"/>
          <w:i w:val="true"/>
          <w:strike w:val="false"/>
          <w:color w:val="000000"/>
          <w:sz w:val="20"/>
          <w:u w:val="none"/>
        </w:rPr>
        <w:t xml:space="preserve">信託研究奨励金論集,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71-82,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インゴ ゼンガー, 新井 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ドイツ会社法における信託(共訳), </w:t>
      </w:r>
      <w:r>
        <w:rPr>
          <w:rFonts w:ascii="" w:hAnsi="" w:cs="" w:eastAsia=""/>
          <w:b w:val="false"/>
          <w:i w:val="true"/>
          <w:strike w:val="false"/>
          <w:color w:val="000000"/>
          <w:sz w:val="20"/>
          <w:u w:val="none"/>
        </w:rPr>
        <w:t xml:space="preserve">会報信託,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82-97,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協働の影響をどのように捉えるか, </w:t>
      </w:r>
      <w:r>
        <w:rPr>
          <w:rFonts w:ascii="" w:hAnsi="" w:cs="" w:eastAsia=""/>
          <w:b w:val="false"/>
          <w:i w:val="true"/>
          <w:strike w:val="false"/>
          <w:color w:val="000000"/>
          <w:sz w:val="20"/>
          <w:u w:val="none"/>
        </w:rPr>
        <w:t xml:space="preserve">地方自治職員研修,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21-23,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クリストフ シェーンベルガー,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宮村 教平 : </w:t>
      </w:r>
      <w:r>
        <w:rPr>
          <w:rFonts w:ascii="" w:hAnsi="" w:cs="" w:eastAsia=""/>
          <w:b w:val="false"/>
          <w:i w:val="false"/>
          <w:strike w:val="false"/>
          <w:color w:val="000000"/>
          <w:sz w:val="20"/>
          <w:u w:val="none"/>
        </w:rPr>
        <w:t xml:space="preserve">憲法改正とその限界, </w:t>
      </w:r>
      <w:r>
        <w:rPr>
          <w:rFonts w:ascii="" w:hAnsi="" w:cs="" w:eastAsia=""/>
          <w:b w:val="false"/>
          <w:i w:val="true"/>
          <w:strike w:val="false"/>
          <w:color w:val="000000"/>
          <w:sz w:val="20"/>
          <w:u w:val="none"/>
        </w:rPr>
        <w:t xml:space="preserve">憲法の発展Ⅰ――憲法の解釈・変遷・改正--, </w:t>
      </w:r>
      <w:r>
        <w:rPr>
          <w:rFonts w:ascii="" w:hAnsi="" w:cs="" w:eastAsia=""/>
          <w:b w:val="false"/>
          <w:i w:val="false"/>
          <w:strike w:val="false"/>
          <w:color w:val="000000"/>
          <w:sz w:val="20"/>
          <w:u w:val="none"/>
        </w:rPr>
        <w:t>99-108,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夏の瀬戸内セミナー2017 ―瀬戸内国際芸術祭とまちづくり―をふり返る,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12-13,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憲法の視点から見た行政のコントロール(一),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三木 朋乃 : </w:t>
      </w:r>
      <w:r>
        <w:rPr>
          <w:rFonts w:ascii="" w:hAnsi="" w:cs="" w:eastAsia=""/>
          <w:b w:val="false"/>
          <w:i w:val="false"/>
          <w:strike w:val="false"/>
          <w:color w:val="000000"/>
          <w:sz w:val="20"/>
          <w:u w:val="none"/>
        </w:rPr>
        <w:t xml:space="preserve">法規制によるプロジェクトマネジメントへの影響, </w:t>
      </w:r>
      <w:r>
        <w:rPr>
          <w:rFonts w:ascii="" w:hAnsi="" w:cs="" w:eastAsia=""/>
          <w:b w:val="false"/>
          <w:i w:val="true"/>
          <w:strike w:val="false"/>
          <w:color w:val="000000"/>
          <w:sz w:val="20"/>
          <w:u w:val="none"/>
        </w:rPr>
        <w:t xml:space="preserve">研究・イノベーション学会 第32回年次学術大会,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議会による執行のコントロールの概念論からの再検討 ――ドイツにおける『政府・議会多数派‐反対派‐図式』の通説化の過程――,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 房雄, 山本 英弘,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「サードセクター組織の持続と変容」後房雄・坂本治也編『現代日本の市民社会:サードセクター調査による実証分析』,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「非営利組織の財源とミッション・ドリフト」後房雄・坂本治也編『現代日本の市民社会:サードセクター調査による実証分析』,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Complexity of the Jevons Paradox, --- The Link Between Innovation, Efficiency and Sustainability ---, </w:t>
      </w:r>
      <w:r>
        <w:rPr>
          <w:rFonts w:ascii="" w:hAnsi="" w:cs="" w:eastAsia=""/>
          <w:b w:val="false"/>
          <w:i w:val="true"/>
          <w:strike w:val="false"/>
          <w:color w:val="000000"/>
          <w:sz w:val="20"/>
          <w:u w:val="single"/>
        </w:rPr>
        <w:t>Frontiers in Energy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Vol.6(article26), </w:t>
      </w:r>
      <w:r>
        <w:rPr>
          <w:rFonts w:ascii="" w:hAnsi="" w:cs="" w:eastAsia=""/>
          <w:b w:val="false"/>
          <w:i w:val="false"/>
          <w:strike w:val="false"/>
          <w:color w:val="000000"/>
          <w:sz w:val="20"/>
          <w:u w:val="none"/>
        </w:rPr>
        <w:t>1-13,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Money as the Potential Cause of The Tragedy of the Commons,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151-156, 2018.</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智国 : </w:t>
      </w:r>
      <w:r>
        <w:rPr>
          <w:rFonts w:ascii="" w:hAnsi="" w:cs="" w:eastAsia=""/>
          <w:b w:val="false"/>
          <w:i w:val="false"/>
          <w:strike w:val="false"/>
          <w:color w:val="000000"/>
          <w:sz w:val="20"/>
          <w:u w:val="none"/>
        </w:rPr>
        <w:t xml:space="preserve">中国の「三農」P2Pネット金融と「翼龍貸」,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協働論の研究動向と課題―行政学を中心とした学際的視点から―,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97-124,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安田氏解放をめぐる「自己責任論」-背景にある日本の政治・社会の特性-,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35-48,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米国投資会社法における資本構成規制,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295-334,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憲法の視点から見た行政のコントロール(二),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連邦議会調査委員会による情報提供要請の連邦政府による拒否の合憲性, </w:t>
      </w:r>
      <w:r>
        <w:rPr>
          <w:rFonts w:ascii="" w:hAnsi="" w:cs="" w:eastAsia=""/>
          <w:b w:val="false"/>
          <w:i w:val="true"/>
          <w:strike w:val="false"/>
          <w:color w:val="000000"/>
          <w:sz w:val="20"/>
          <w:u w:val="none"/>
        </w:rPr>
        <w:t xml:space="preserve">ドイツの憲法判例Ⅳ, </w:t>
      </w:r>
      <w:r>
        <w:rPr>
          <w:rFonts w:ascii="" w:hAnsi="" w:cs="" w:eastAsia=""/>
          <w:b w:val="false"/>
          <w:i w:val="false"/>
          <w:strike w:val="false"/>
          <w:color w:val="000000"/>
          <w:sz w:val="20"/>
          <w:u w:val="none"/>
        </w:rPr>
        <w:t>356-360,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新事務局長就任のご挨拶,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サードセクター組織におけるミッション・ドリフトの実態とその発生要因, </w:t>
      </w:r>
      <w:r>
        <w:rPr>
          <w:rFonts w:ascii="" w:hAnsi="" w:cs="" w:eastAsia=""/>
          <w:b w:val="false"/>
          <w:i w:val="true"/>
          <w:strike w:val="false"/>
          <w:color w:val="000000"/>
          <w:sz w:val="20"/>
          <w:u w:val="none"/>
        </w:rPr>
        <w:t xml:space="preserve">日本NPO学会第20回年次大会(立教大学),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「ディートマール=フォン-デェァ・プフォーテン:法の支配と法治国原理の基礎について――翻訳と解説」, </w:t>
      </w:r>
      <w:r>
        <w:rPr>
          <w:rFonts w:ascii="" w:hAnsi="" w:cs="" w:eastAsia=""/>
          <w:b w:val="false"/>
          <w:i w:val="false"/>
          <w:strike w:val="false"/>
          <w:color w:val="000000"/>
          <w:sz w:val="20"/>
          <w:u w:val="none"/>
        </w:rPr>
        <w:t>2019年1月.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Reconsidering ``Circular Economy'' in Terms of Irreversible Evolution of Economic Activity and Interplay between Technosphere and Biosphere,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水の上 智邦, </w:t>
      </w: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P2P ネット金融プラットフォームのイベントヒストリー分析, </w:t>
      </w:r>
      <w:r>
        <w:rPr>
          <w:rFonts w:ascii="" w:hAnsi="" w:cs="" w:eastAsia=""/>
          <w:b w:val="false"/>
          <w:i w:val="true"/>
          <w:strike w:val="false"/>
          <w:color w:val="000000"/>
          <w:sz w:val="20"/>
          <w:u w:val="none"/>
        </w:rPr>
        <w:t xml:space="preserve">ICCS現代中国学ジャーナル,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Money, credit and interest in light of unconventional perspective, </w:t>
      </w:r>
      <w:r>
        <w:rPr>
          <w:rFonts w:ascii="" w:hAnsi="" w:cs="" w:eastAsia=""/>
          <w:b w:val="false"/>
          <w:i w:val="true"/>
          <w:strike w:val="false"/>
          <w:color w:val="000000"/>
          <w:sz w:val="20"/>
          <w:u w:val="none"/>
        </w:rPr>
        <w:t xml:space="preserve">Nonviolent Political Economy, F. E. Cante and W. T. Torres, Eds. Routledge, </w:t>
      </w:r>
      <w:r>
        <w:rPr>
          <w:rFonts w:ascii="" w:hAnsi="" w:cs="" w:eastAsia=""/>
          <w:b w:val="false"/>
          <w:i w:val="false"/>
          <w:strike w:val="false"/>
          <w:color w:val="000000"/>
          <w:sz w:val="20"/>
          <w:u w:val="none"/>
        </w:rPr>
        <w:t>27-44, 2019.</w:t>
      </w:r>
    </w:p>
    <w:p>
      <w:pPr>
        <w:numPr>
          <w:numId w:val="8"/>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P2Pネット金融の投資家が本当に賢いか?,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47-56,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中国 P2P ネット金融規制について,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81-97,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the social cost of carbon be calculated? NO: There are fundamental problems with cost-benefit analysis when applied to climate change, </w:t>
      </w:r>
      <w:r>
        <w:rPr>
          <w:rFonts w:ascii="" w:hAnsi="" w:cs="" w:eastAsia=""/>
          <w:b w:val="false"/>
          <w:i w:val="true"/>
          <w:strike w:val="false"/>
          <w:color w:val="000000"/>
          <w:sz w:val="20"/>
          <w:u w:val="none"/>
        </w:rPr>
        <w:t xml:space="preserve">Climate change debates: a student primer (ed.) Hulme,M. Routledge, </w:t>
      </w:r>
      <w:r>
        <w:rPr>
          <w:rFonts w:ascii="" w:hAnsi="" w:cs="" w:eastAsia=""/>
          <w:b w:val="false"/>
          <w:i w:val="false"/>
          <w:strike w:val="false"/>
          <w:color w:val="000000"/>
          <w:sz w:val="20"/>
          <w:u w:val="none"/>
        </w:rPr>
        <w:t>70-80, 2019.</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 NPO をめぐる言説の変容―地方議会会議録を用いた分析―,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1-15,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政治学におけるNPO研究の展開―日本における1998年以降の文献レビュー―, </w:t>
      </w:r>
      <w:r>
        <w:rPr>
          <w:rFonts w:ascii="" w:hAnsi="" w:cs="" w:eastAsia=""/>
          <w:b w:val="false"/>
          <w:i w:val="true"/>
          <w:strike w:val="false"/>
          <w:color w:val="000000"/>
          <w:sz w:val="20"/>
          <w:u w:val="none"/>
        </w:rPr>
        <w:t xml:space="preserve">ノンプロフィット・レビュー,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33-45,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学習まんがにみる日本の戦争ーいま良書を選ぶ必要性,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16-32,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調査委員会へのNASのセレクター・リストの連邦政府による提出拒否[連邦憲法裁判所第二法廷2016.10.13決定]」,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132-140,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地方議会におけるNPOをめぐる言説の変容:議会会議録を用いたテキスト分析から, </w:t>
      </w:r>
      <w:r>
        <w:rPr>
          <w:rFonts w:ascii="" w:hAnsi="" w:cs="" w:eastAsia=""/>
          <w:b w:val="false"/>
          <w:i w:val="true"/>
          <w:strike w:val="false"/>
          <w:color w:val="000000"/>
          <w:sz w:val="20"/>
          <w:u w:val="none"/>
        </w:rPr>
        <w:t xml:space="preserve">日本NPO学会第21回年次大会(龍谷大学),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調査委員会へのNSAのセレクター・リストの連邦政府による提出拒否[連邦憲法裁判所第二法廷2016.10.13決定]」,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ローカルガバナンスにおけるNPOの役割:日本の実態から, </w:t>
      </w:r>
      <w:r>
        <w:rPr>
          <w:rFonts w:ascii="" w:hAnsi="" w:cs="" w:eastAsia=""/>
          <w:b w:val="false"/>
          <w:i w:val="true"/>
          <w:strike w:val="false"/>
          <w:color w:val="000000"/>
          <w:sz w:val="20"/>
          <w:u w:val="none"/>
        </w:rPr>
        <w:t xml:space="preserve">経営哲学学会第36回全国大会(立命館大学),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NPOとミッション・ドリフト:社会的使命は追及できているか, </w:t>
      </w:r>
      <w:r>
        <w:rPr>
          <w:rFonts w:ascii="" w:hAnsi="" w:cs="" w:eastAsia=""/>
          <w:b w:val="false"/>
          <w:i w:val="true"/>
          <w:strike w:val="false"/>
          <w:color w:val="000000"/>
          <w:sz w:val="20"/>
          <w:u w:val="none"/>
        </w:rPr>
        <w:t xml:space="preserve">ファンドレイジング・⽇本2019(駒澤大学),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地域産業の発展と主体形成, NHK出版,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「アートプロジェクトと地域経済」樽見弘紀・服部篤子編『新・公共経営論:事例から学ぶ市民社会のカタチ』, ミネルヴァ書房,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宇宙をテーマとした福井県の新しいブランド化の可能性, </w:t>
      </w:r>
      <w:r>
        <w:rPr>
          <w:rFonts w:ascii="" w:hAnsi="" w:cs="" w:eastAsia=""/>
          <w:b w:val="false"/>
          <w:i w:val="true"/>
          <w:strike w:val="false"/>
          <w:color w:val="000000"/>
          <w:sz w:val="20"/>
          <w:u w:val="none"/>
        </w:rPr>
        <w:t xml:space="preserve">地域公共政策研究,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7-12,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中国P2Pネット金融はなぜ倒産ラッシュに追い込まれたか,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48-65,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米国投資会社法における黙示の私的訴権の歴史的展開,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47-66,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主成分分析による中国P2Pネット金融プラットフォームの格付け,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1-14,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中国の新興決済機構のイノベーション,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 : 日本の実態から, </w:t>
      </w:r>
      <w:r>
        <w:rPr>
          <w:rFonts w:ascii="" w:hAnsi="" w:cs="" w:eastAsia=""/>
          <w:b w:val="false"/>
          <w:i w:val="true"/>
          <w:strike w:val="false"/>
          <w:color w:val="000000"/>
          <w:sz w:val="20"/>
          <w:u w:val="single"/>
        </w:rPr>
        <w:t>経営哲学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「育鵬社」の中学校社会科教科書の特徴:「公民」を中心に学習上の問題点と特異な視点について,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サードセクター組織における財源多様性とその要因, </w:t>
      </w:r>
      <w:r>
        <w:rPr>
          <w:rFonts w:ascii="" w:hAnsi="" w:cs="" w:eastAsia=""/>
          <w:b w:val="false"/>
          <w:i w:val="true"/>
          <w:strike w:val="false"/>
          <w:color w:val="000000"/>
          <w:sz w:val="20"/>
          <w:u w:val="none"/>
        </w:rPr>
        <w:t xml:space="preserve">社会科学,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77-96,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 </w:t>
      </w:r>
      <w:r>
        <w:rPr>
          <w:rFonts w:ascii="" w:hAnsi="" w:cs="" w:eastAsia=""/>
          <w:b w:val="false"/>
          <w:i w:val="true"/>
          <w:strike w:val="false"/>
          <w:color w:val="000000"/>
          <w:sz w:val="20"/>
          <w:u w:val="none"/>
        </w:rPr>
        <w:t xml:space="preserve">法の支配と法治主義, </w:t>
      </w:r>
      <w:r>
        <w:rPr>
          <w:rFonts w:ascii="" w:hAnsi="" w:cs="" w:eastAsia=""/>
          <w:b w:val="false"/>
          <w:i w:val="false"/>
          <w:strike w:val="false"/>
          <w:color w:val="000000"/>
          <w:sz w:val="20"/>
          <w:u w:val="none"/>
        </w:rPr>
        <w:t>20-38,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選挙供託金違憲訴訟, </w:t>
      </w:r>
      <w:r>
        <w:rPr>
          <w:rFonts w:ascii="" w:hAnsi="" w:cs="" w:eastAsia=""/>
          <w:b w:val="false"/>
          <w:i w:val="true"/>
          <w:strike w:val="false"/>
          <w:color w:val="000000"/>
          <w:sz w:val="20"/>
          <w:u w:val="none"/>
        </w:rPr>
        <w:t xml:space="preserve">法学セミナー,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120,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フリッツ・ハルトゥング「第二帝政の国家構造と崩壊」, </w:t>
      </w:r>
      <w:r>
        <w:rPr>
          <w:rFonts w:ascii="" w:hAnsi="" w:cs="" w:eastAsia=""/>
          <w:b w:val="false"/>
          <w:i w:val="true"/>
          <w:strike w:val="false"/>
          <w:color w:val="000000"/>
          <w:sz w:val="20"/>
          <w:u w:val="none"/>
        </w:rPr>
        <w:t xml:space="preserve">第二帝政の国家構造とビスマルクの遺産, </w:t>
      </w:r>
      <w:r>
        <w:rPr>
          <w:rFonts w:ascii="" w:hAnsi="" w:cs="" w:eastAsia=""/>
          <w:b w:val="false"/>
          <w:i w:val="false"/>
          <w:strike w:val="false"/>
          <w:color w:val="000000"/>
          <w:sz w:val="20"/>
          <w:u w:val="none"/>
        </w:rPr>
        <w:t>63-85,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ツイッター投稿削除請求事件,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118,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阿波人形浄瑠璃の発展とNPOの役割-徳島県勝浦町の事例をもとに-, </w:t>
      </w:r>
      <w:r>
        <w:rPr>
          <w:rFonts w:ascii="" w:hAnsi="" w:cs="" w:eastAsia=""/>
          <w:b w:val="false"/>
          <w:i w:val="true"/>
          <w:strike w:val="false"/>
          <w:color w:val="000000"/>
          <w:sz w:val="20"/>
          <w:u w:val="none"/>
        </w:rPr>
        <w:t xml:space="preserve">日本協同組合学会,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株式会社規範のコペルニクス的転回-脱・株主ファーストの生存戦略(共訳), 東洋経済新報社,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「日本におけるソーシャル・イノベーション言説の受容」今里滋編『ソーシャル・イノベーションの理論と実践』, 明石書店,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61-72,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米国投資会社法17条の利益相反規制に対する一考察,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39-58,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投資会社法47条b項に基づく黙示の私的訴権が認められた事例,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No.2274, </w:t>
      </w:r>
      <w:r>
        <w:rPr>
          <w:rFonts w:ascii="" w:hAnsi="" w:cs="" w:eastAsia=""/>
          <w:b w:val="false"/>
          <w:i w:val="false"/>
          <w:strike w:val="false"/>
          <w:color w:val="000000"/>
          <w:sz w:val="20"/>
          <w:u w:val="none"/>
        </w:rPr>
        <w:t>74-79,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サブアドバイザリー理論に基づき投資会社法36条b項の信認義務違反が争われた事例,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No.2282, </w:t>
      </w:r>
      <w:r>
        <w:rPr>
          <w:rFonts w:ascii="" w:hAnsi="" w:cs="" w:eastAsia=""/>
          <w:b w:val="false"/>
          <w:i w:val="false"/>
          <w:strike w:val="false"/>
          <w:color w:val="000000"/>
          <w:sz w:val="20"/>
          <w:u w:val="none"/>
        </w:rPr>
        <w:t>63-67,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 : アンケート調査に基づく基礎的考察,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地方議会議員への出席停止の懲罰に対する司法審査,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122,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生殖補助医療における自己決定権,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126,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書評:原⽥峻『ロビイングの政治社会学―NPO 法制定・改正をめぐる政策過程と社会運動―』有斐閣, </w:t>
      </w:r>
      <w:r>
        <w:rPr>
          <w:rFonts w:ascii="" w:hAnsi="" w:cs="" w:eastAsia=""/>
          <w:b w:val="false"/>
          <w:i w:val="true"/>
          <w:strike w:val="false"/>
          <w:color w:val="000000"/>
          <w:sz w:val="20"/>
          <w:u w:val="none"/>
        </w:rPr>
        <w:t xml:space="preserve">政治社会論叢, </w:t>
      </w:r>
      <w:r>
        <w:rPr>
          <w:rFonts w:ascii="" w:hAnsi="" w:cs="" w:eastAsia=""/>
          <w:b w:val="true"/>
          <w:i w:val="false"/>
          <w:strike w:val="false"/>
          <w:color w:val="000000"/>
          <w:sz w:val="20"/>
          <w:u w:val="none"/>
        </w:rPr>
        <w:t xml:space="preserve">Vol.Vol.7, </w:t>
      </w:r>
      <w:r>
        <w:rPr>
          <w:rFonts w:ascii="" w:hAnsi="" w:cs="" w:eastAsia=""/>
          <w:b w:val="false"/>
          <w:i w:val="false"/>
          <w:strike w:val="false"/>
          <w:color w:val="000000"/>
          <w:sz w:val="20"/>
          <w:u w:val="none"/>
        </w:rPr>
        <w:t>128-129,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公務員における社会貢献活動の実態とその要因-個人内要因と職場要因の関係性に着目して, </w:t>
      </w:r>
      <w:r>
        <w:rPr>
          <w:rFonts w:ascii="" w:hAnsi="" w:cs="" w:eastAsia=""/>
          <w:b w:val="false"/>
          <w:i w:val="true"/>
          <w:strike w:val="false"/>
          <w:color w:val="000000"/>
          <w:sz w:val="20"/>
          <w:u w:val="none"/>
        </w:rPr>
        <w:t xml:space="preserve">日本NPO学会第23回大会(オンライン大会),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地域と共に創る伝統文化の未来‐勝浦町人形浄瑠璃文化の可能性と課題‐, </w:t>
      </w:r>
      <w:r>
        <w:rPr>
          <w:rFonts w:ascii="" w:hAnsi="" w:cs="" w:eastAsia=""/>
          <w:b w:val="false"/>
          <w:i w:val="true"/>
          <w:strike w:val="false"/>
          <w:color w:val="000000"/>
          <w:sz w:val="20"/>
          <w:u w:val="none"/>
        </w:rPr>
        <w:t xml:space="preserve">徳島大学人と地域共創センター,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エコノミックガーデニングの実施と課題:地方都市の事例をもとに,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119-132,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投資会社ガバナンスにおけるSECの法執行,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73-93,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取締役候補者の指名に係る追加情報の要求と回答期限について定める付属定款の解釈,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No.2298, </w:t>
      </w:r>
      <w:r>
        <w:rPr>
          <w:rFonts w:ascii="" w:hAnsi="" w:cs="" w:eastAsia=""/>
          <w:b w:val="false"/>
          <w:i w:val="false"/>
          <w:strike w:val="false"/>
          <w:color w:val="000000"/>
          <w:sz w:val="20"/>
          <w:u w:val="none"/>
        </w:rPr>
        <w:t>52-56,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63-81,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東とくしま農業協同組合における取組み‐地域経済に果たす役割‐, </w:t>
      </w:r>
      <w:r>
        <w:rPr>
          <w:rFonts w:ascii="" w:hAnsi="" w:cs="" w:eastAsia=""/>
          <w:b w:val="false"/>
          <w:i w:val="true"/>
          <w:strike w:val="false"/>
          <w:color w:val="000000"/>
          <w:sz w:val="20"/>
          <w:u w:val="none"/>
        </w:rPr>
        <w:t xml:space="preserve">日本協同組合学会,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若者の定住促進への効果的な採用手法の分析~建設関連業を例として~,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金融商品取引法」,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欧陽 桃花, 岡山 武史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浦上 拓也 : </w:t>
      </w:r>
      <w:r>
        <w:rPr>
          <w:rFonts w:ascii="" w:hAnsi="" w:cs="" w:eastAsia=""/>
          <w:b w:val="false"/>
          <w:i w:val="false"/>
          <w:strike w:val="false"/>
          <w:color w:val="000000"/>
          <w:sz w:val="20"/>
          <w:u w:val="none"/>
        </w:rPr>
        <w:t xml:space="preserve">E-commerce expansion in the Japanese apparel market, </w:t>
      </w:r>
      <w:r>
        <w:rPr>
          <w:rFonts w:ascii="" w:hAnsi="" w:cs="" w:eastAsia=""/>
          <w:b w:val="false"/>
          <w:i w:val="true"/>
          <w:strike w:val="false"/>
          <w:color w:val="000000"/>
          <w:sz w:val="20"/>
          <w:u w:val="single"/>
        </w:rPr>
        <w:t>International Journal of Electronic Marketing and Retailing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394-411,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エコノミックガーデニングにおける地域経済コンシェルジュが果たす役割 -神奈川県寒川町の事例をもとに-,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Hirono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aging, human capital accumulation, and coordination of policies, </w:t>
      </w:r>
      <w:r>
        <w:rPr>
          <w:rFonts w:ascii="" w:hAnsi="" w:cs="" w:eastAsia=""/>
          <w:b w:val="false"/>
          <w:i w:val="true"/>
          <w:strike w:val="false"/>
          <w:color w:val="000000"/>
          <w:sz w:val="20"/>
          <w:u w:val="single"/>
        </w:rPr>
        <w:t>Journal of Economics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米国投資会社法におけるピラミッディング禁止規定の歴史的展開,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91-110,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バランジェ ドゥニ, 山元 一, </w:t>
      </w: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「フランス憲法学の政治化と脱政治化」ドゥニ・バランジェ(著)，山元一・兵田愛子(共訳), </w:t>
      </w:r>
      <w:r>
        <w:rPr>
          <w:rFonts w:ascii="" w:hAnsi="" w:cs="" w:eastAsia=""/>
          <w:b w:val="false"/>
          <w:i w:val="true"/>
          <w:strike w:val="false"/>
          <w:color w:val="000000"/>
          <w:sz w:val="20"/>
          <w:u w:val="single"/>
        </w:rPr>
        <w:t>法學研究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125-153,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Zhu, T. Okayama, </w:t>
      </w:r>
      <w:r>
        <w:rPr>
          <w:rFonts w:ascii="" w:hAnsi="" w:cs="" w:eastAsia=""/>
          <w:b w:val="true"/>
          <w:i w:val="false"/>
          <w:strike w:val="false"/>
          <w:color w:val="000000"/>
          <w:sz w:val="20"/>
          <w:u w:val="single"/>
        </w:rPr>
        <w:t>Xueying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Urakami : </w:t>
      </w:r>
      <w:r>
        <w:rPr>
          <w:rFonts w:ascii="" w:hAnsi="" w:cs="" w:eastAsia=""/>
          <w:b w:val="false"/>
          <w:i w:val="false"/>
          <w:strike w:val="false"/>
          <w:color w:val="000000"/>
          <w:sz w:val="20"/>
          <w:u w:val="none"/>
        </w:rPr>
        <w:t xml:space="preserve">Review of previous studied on the expansion of e-commerce in the distribution sector, </w:t>
      </w:r>
      <w:r>
        <w:rPr>
          <w:rFonts w:ascii="" w:hAnsi="" w:cs="" w:eastAsia=""/>
          <w:b w:val="false"/>
          <w:i w:val="true"/>
          <w:strike w:val="false"/>
          <w:color w:val="000000"/>
          <w:sz w:val="20"/>
          <w:u w:val="none"/>
        </w:rPr>
        <w:t xml:space="preserve">経営学部ワーキングペーパー,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地域経済活性化のための地方自治体の取り組みに関する一考察-エコノミックガーデニング鳴門の事例をもとに‐,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1-18,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寒川エコノミックガーデニングの事例に関する一考察,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31-40,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エコノミックガーデニングの実態と課題, </w:t>
      </w:r>
      <w:r>
        <w:rPr>
          <w:rFonts w:ascii="" w:hAnsi="" w:cs="" w:eastAsia=""/>
          <w:b w:val="false"/>
          <w:i w:val="true"/>
          <w:strike w:val="false"/>
          <w:color w:val="000000"/>
          <w:sz w:val="20"/>
          <w:u w:val="none"/>
        </w:rPr>
        <w:t xml:space="preserve">人を大切にする経営学会, </w:t>
      </w:r>
      <w:r>
        <w:rPr>
          <w:rFonts w:ascii="" w:hAnsi="" w:cs="" w:eastAsia=""/>
          <w:b w:val="false"/>
          <w:i w:val="false"/>
          <w:strike w:val="false"/>
          <w:color w:val="000000"/>
          <w:sz w:val="20"/>
          <w:u w:val="none"/>
        </w:rPr>
        <w:t>25-27,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欧州人権裁判所判例における居住の権利の保障状況, </w:t>
      </w:r>
      <w:r>
        <w:rPr>
          <w:rFonts w:ascii="" w:hAnsi="" w:cs="" w:eastAsia=""/>
          <w:b w:val="false"/>
          <w:i w:val="true"/>
          <w:strike w:val="false"/>
          <w:color w:val="000000"/>
          <w:sz w:val="20"/>
          <w:u w:val="none"/>
        </w:rPr>
        <w:t xml:space="preserve">日本居住福祉学会・2023年度全国大会,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地域経済活性化のための ⼈財育成 ーエコノミックガーデニングの知⾒からー,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第1回海陽町魅力発信シンポジウムinとくしま,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欧州人権裁判所判例に見られる居住の権利の状況, </w:t>
      </w:r>
      <w:r>
        <w:rPr>
          <w:rFonts w:ascii="" w:hAnsi="" w:cs="" w:eastAsia=""/>
          <w:b w:val="false"/>
          <w:i w:val="true"/>
          <w:strike w:val="false"/>
          <w:color w:val="000000"/>
          <w:sz w:val="20"/>
          <w:u w:val="none"/>
        </w:rPr>
        <w:t xml:space="preserve">松下幸之助記念志財団 研究助成,研究報告,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勝浦町の創造的再生-歴史・文化・産業-, </w:t>
      </w:r>
      <w:r>
        <w:rPr>
          <w:rFonts w:ascii="" w:hAnsi="" w:cs="" w:eastAsia=""/>
          <w:b w:val="false"/>
          <w:i w:val="true"/>
          <w:strike w:val="false"/>
          <w:color w:val="000000"/>
          <w:sz w:val="20"/>
          <w:u w:val="none"/>
        </w:rPr>
        <w:t xml:space="preserve">勝浦町実態調査結果報告書,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