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185-189,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437-442,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Vol.FS2013,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geotechinical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3455-3472,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211-217,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1579-1585,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6452-6473,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9906-9915,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32-35,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産官学民協働による津波防災への取り組み, </w:t>
      </w:r>
      <w:r>
        <w:rPr>
          <w:rFonts w:ascii="" w:hAnsi="" w:cs="" w:eastAsia=""/>
          <w:b w:val="false"/>
          <w:i w:val="true"/>
          <w:strike w:val="false"/>
          <w:color w:val="000000"/>
          <w:sz w:val="20"/>
          <w:u w:val="none"/>
        </w:rPr>
        <w:t xml:space="preserve">JAEE NEWSLETTER,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和也, 井上 惣介, 喜井 義典, 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62-65,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