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805-809,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3920-3925,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3854-3859,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3860-3865,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3866-3871,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384-390,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397-404,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396-401,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660, </w:t>
      </w:r>
      <w:r>
        <w:rPr>
          <w:rFonts w:ascii="" w:hAnsi="" w:cs="" w:eastAsia=""/>
          <w:b w:val="false"/>
          <w:i w:val="false"/>
          <w:strike w:val="false"/>
          <w:color w:val="000000"/>
          <w:sz w:val="20"/>
          <w:u w:val="none"/>
        </w:rPr>
        <w:t>18-24,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9"/>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7149, </w:t>
      </w:r>
      <w:r>
        <w:rPr>
          <w:rFonts w:ascii="" w:hAnsi="" w:cs="" w:eastAsia=""/>
          <w:b w:val="false"/>
          <w:i w:val="false"/>
          <w:strike w:val="false"/>
          <w:color w:val="000000"/>
          <w:sz w:val="20"/>
          <w:u w:val="none"/>
        </w:rPr>
        <w:t>71490F, New Caledonia,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502-507,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239-247,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3964-3969,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2833-2837,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3242-3247,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745-750,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416-424,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19-24,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4171-4174,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1833-1842,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437-442,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135-144, 2013.</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620-624,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1014-1020,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14-20, 2014.</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13702-13705,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27-35,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67-71,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false"/>
          <w:strike w:val="false"/>
          <w:color w:val="000000"/>
          <w:sz w:val="20"/>
          <w:u w:val="none"/>
        </w:rPr>
        <w:t>220-225,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37-56, 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9"/>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4"/>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