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Vol.IP-04-23, </w:t>
      </w:r>
      <w:r>
        <w:rPr>
          <w:rFonts w:ascii="" w:hAnsi="" w:cs="" w:eastAsia=""/>
          <w:b w:val="false"/>
          <w:i w:val="true"/>
          <w:strike w:val="false"/>
          <w:color w:val="000000"/>
          <w:sz w:val="20"/>
          <w:u w:val="none"/>
        </w:rPr>
        <w:t xml:space="preserve">No.IIS-04-32,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Vol.IP-04-24, </w:t>
      </w:r>
      <w:r>
        <w:rPr>
          <w:rFonts w:ascii="" w:hAnsi="" w:cs="" w:eastAsia=""/>
          <w:b w:val="false"/>
          <w:i w:val="true"/>
          <w:strike w:val="false"/>
          <w:color w:val="000000"/>
          <w:sz w:val="20"/>
          <w:u w:val="none"/>
        </w:rPr>
        <w:t xml:space="preserve">No.IIS-04-33,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Vol.J88-D-II,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none"/>
        </w:rPr>
        <w:t>Edinburgh,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781-794,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1406-1417,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9"/>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9"/>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左前頭極脳波センシング技術とその応用, </w:t>
      </w:r>
      <w:r>
        <w:rPr>
          <w:rFonts w:ascii="" w:hAnsi="" w:cs="" w:eastAsia=""/>
          <w:b w:val="false"/>
          <w:i w:val="true"/>
          <w:strike w:val="false"/>
          <w:color w:val="000000"/>
          <w:sz w:val="20"/>
          <w:u w:val="none"/>
        </w:rPr>
        <w:t xml:space="preserve">平成20年電気学会産業応用部門大会, シンポジウム, </w:t>
      </w:r>
      <w:r>
        <w:rPr>
          <w:rFonts w:ascii="" w:hAnsi="" w:cs="" w:eastAsia=""/>
          <w:b w:val="true"/>
          <w:i w:val="false"/>
          <w:strike w:val="false"/>
          <w:color w:val="000000"/>
          <w:sz w:val="20"/>
          <w:u w:val="none"/>
        </w:rPr>
        <w:t xml:space="preserve">Vol.2 S1 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10"/>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10"/>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10"/>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Vol.AK2-2,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1889-1903,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1177-1185,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Vol.IT2010-4, </w:t>
      </w:r>
      <w:r>
        <w:rPr>
          <w:rFonts w:ascii="" w:hAnsi="" w:cs="" w:eastAsia=""/>
          <w:b w:val="false"/>
          <w:i w:val="false"/>
          <w:strike w:val="false"/>
          <w:color w:val="000000"/>
          <w:sz w:val="20"/>
          <w:u w:val="none"/>
        </w:rPr>
        <w:t>19-24,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オンライン適応学習を用いた電動車いすの障害物回避補助システムの実験的評価,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S5-3-2-1-S5-3-2-4,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2"/>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2"/>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2"/>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224-331,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No.TC15-5,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No.DSP-10,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No.CT-11-030,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3"/>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3"/>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No.Numero 68, </w:t>
      </w:r>
      <w:r>
        <w:rPr>
          <w:rFonts w:ascii="" w:hAnsi="" w:cs="" w:eastAsia=""/>
          <w:b w:val="false"/>
          <w:i w:val="false"/>
          <w:strike w:val="false"/>
          <w:color w:val="000000"/>
          <w:sz w:val="20"/>
          <w:u w:val="none"/>
        </w:rPr>
        <w:t>26-31,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3"/>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34-37,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No.XIII-8,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Vol.2 S10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II-5-II-8,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No.OS1-H2(IS1-A2),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No.IP-13-004(IIS-13-045),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No.IP-13-006(IIS-13-047),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1275-1287,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4"/>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4"/>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4"/>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4113-4129,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977-980,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No.IS3-08,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No.TC13-3,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No.SO1-17,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No.IS1-B5,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No.IS1-B6,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No.OS4-H1(IS2-A1),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No.IS2-A9,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No.PI-13-18, </w:t>
      </w:r>
      <w:r>
        <w:rPr>
          <w:rFonts w:ascii="" w:hAnsi="" w:cs="" w:eastAsia=""/>
          <w:b w:val="false"/>
          <w:i w:val="false"/>
          <w:strike w:val="false"/>
          <w:color w:val="000000"/>
          <w:sz w:val="20"/>
          <w:u w:val="none"/>
        </w:rPr>
        <w:t>47-52,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No.PI-13-19, </w:t>
      </w:r>
      <w:r>
        <w:rPr>
          <w:rFonts w:ascii="" w:hAnsi="" w:cs="" w:eastAsia=""/>
          <w:b w:val="false"/>
          <w:i w:val="false"/>
          <w:strike w:val="false"/>
          <w:color w:val="000000"/>
          <w:sz w:val="20"/>
          <w:u w:val="none"/>
        </w:rPr>
        <w:t>53-58,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No.PI-13-20, </w:t>
      </w:r>
      <w:r>
        <w:rPr>
          <w:rFonts w:ascii="" w:hAnsi="" w:cs="" w:eastAsia=""/>
          <w:b w:val="false"/>
          <w:i w:val="false"/>
          <w:strike w:val="false"/>
          <w:color w:val="000000"/>
          <w:sz w:val="20"/>
          <w:u w:val="none"/>
        </w:rPr>
        <w:t>59-64,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Vol.Vol.E98-D,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Vol.2 S13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No.TC15-3,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195,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196,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197,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198,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No.IS1-16,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No.2D4-1,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No.D-12-4,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No.2-1-16,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No.1-R-20,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No.IS2-B5,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No.PI-14-046,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No.PI-14-047,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No.IIS-15-044(PI-14-018),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6"/>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6"/>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6"/>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1801-1805,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No.OS4-H5(IS2-10),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No.PI-16-017(IIS-16-060),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No.PI-16-026(IIS-16-069),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No.PI-15-047,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No.PI-15-051,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No.PI-15-052,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Vol.[S11],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7"/>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18"/>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19"/>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20"/>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20"/>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20"/>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20"/>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20"/>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21"/>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21"/>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21"/>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21"/>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21"/>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21"/>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21"/>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21"/>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1"/>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22"/>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2"/>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