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Vol.IP-04-23, </w:t>
      </w:r>
      <w:r>
        <w:rPr>
          <w:rFonts w:ascii="" w:hAnsi="" w:cs="" w:eastAsia=""/>
          <w:b w:val="false"/>
          <w:i w:val="true"/>
          <w:strike w:val="false"/>
          <w:color w:val="000000"/>
          <w:sz w:val="20"/>
          <w:u w:val="none"/>
        </w:rPr>
        <w:t xml:space="preserve">No.IIS-04-32,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Vol.IP-04-24, </w:t>
      </w:r>
      <w:r>
        <w:rPr>
          <w:rFonts w:ascii="" w:hAnsi="" w:cs="" w:eastAsia=""/>
          <w:b w:val="false"/>
          <w:i w:val="true"/>
          <w:strike w:val="false"/>
          <w:color w:val="000000"/>
          <w:sz w:val="20"/>
          <w:u w:val="none"/>
        </w:rPr>
        <w:t xml:space="preserve">No.IIS-04-33,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Vol.SLP55,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none"/>
        </w:rPr>
        <w:t>Edinburgh,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