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ワークショップ形式のプログラミング体験講座による若年層へのプログラミングの意欲向上, e-とくしま推進財団賞, 公益財団法人e-とくしま推進財団,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IEEE 802.15.4 Historical Evolution and Trends, Outstanding paper award, ICACT 2019,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LR-WPAN: Beacon Enabled Direct Transmissions on Ns-3, Excellent Paper Presentation Award., ICCIP 2020,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