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産業技術総合研究所,  (画像診断分野コンピュータ診断支援装置開発ワーキンググループ委員 [2012年10月〜2013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