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Mason Pember, Denis Polly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 type representations, </w:t>
      </w:r>
      <w:r>
        <w:rPr>
          <w:rFonts w:ascii="" w:hAnsi="" w:cs="" w:eastAsia=""/>
          <w:b w:val="false"/>
          <w:i w:val="true"/>
          <w:strike w:val="false"/>
          <w:color w:val="000000"/>
          <w:sz w:val="20"/>
          <w:u w:val="single"/>
        </w:rPr>
        <w:t>Discrete &amp; Computational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to appear,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69-75,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77-85,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85-92,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timelike constant mean curvature surfaces in 3-dimensional Lorentz-Minkowski space, </w:t>
      </w:r>
      <w:r>
        <w:rPr>
          <w:rFonts w:ascii="" w:hAnsi="" w:cs="" w:eastAsia=""/>
          <w:b w:val="false"/>
          <w:i w:val="false"/>
          <w:strike w:val="false"/>
          <w:color w:val="000000"/>
          <w:sz w:val="20"/>
          <w:u w:val="none"/>
        </w:rPr>
        <w:t>minisymposium "Differential geometry" at the CGTA2023,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Construcion of discrete zero mean curvature surfaces in Euclidean and Lorentz-Minkowski spaces, </w:t>
      </w:r>
      <w:r>
        <w:rPr>
          <w:rFonts w:ascii="" w:hAnsi="" w:cs="" w:eastAsia=""/>
          <w:b w:val="false"/>
          <w:i w:val="true"/>
          <w:strike w:val="false"/>
          <w:color w:val="000000"/>
          <w:sz w:val="20"/>
          <w:u w:val="none"/>
        </w:rPr>
        <w:t xml:space="preserve">minisymposium "Geometric Shape Generation II: Design" at the ICIAM 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Weierstrass-type representations, and beyond, </w:t>
      </w:r>
      <w:r>
        <w:rPr>
          <w:rFonts w:ascii="" w:hAnsi="" w:cs="" w:eastAsia=""/>
          <w:b w:val="false"/>
          <w:i w:val="false"/>
          <w:strike w:val="false"/>
          <w:color w:val="000000"/>
          <w:sz w:val="20"/>
          <w:u w:val="none"/>
        </w:rPr>
        <w:t>The 4th Taiwan-Japan Joint Conference on Differential Geometry,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安本 真士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曲面の離散微分幾何の拡がり,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 Nanaka : </w:t>
      </w:r>
      <w:r>
        <w:rPr>
          <w:rFonts w:ascii="" w:hAnsi="" w:cs="" w:eastAsia=""/>
          <w:b w:val="false"/>
          <w:i w:val="false"/>
          <w:strike w:val="false"/>
          <w:color w:val="000000"/>
          <w:sz w:val="20"/>
          <w:u w:val="none"/>
        </w:rPr>
        <w:t xml:space="preserve">On asymptotic forms of solutions for Lanchester type differential equations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73-81,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歩美佳,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病棟で扱われる制約を考慮したナーススケジューリングモデル, </w:t>
      </w:r>
      <w:r>
        <w:rPr>
          <w:rFonts w:ascii="" w:hAnsi="" w:cs="" w:eastAsia=""/>
          <w:b w:val="false"/>
          <w:i w:val="true"/>
          <w:strike w:val="false"/>
          <w:color w:val="000000"/>
          <w:sz w:val="20"/>
          <w:u w:val="none"/>
        </w:rPr>
        <w:t xml:space="preserve">2024年中国・四国地区SSORアブストラクト集, </w:t>
      </w:r>
      <w:r>
        <w:rPr>
          <w:rFonts w:ascii="" w:hAnsi="" w:cs="" w:eastAsia=""/>
          <w:b w:val="false"/>
          <w:i w:val="false"/>
          <w:strike w:val="false"/>
          <w:color w:val="000000"/>
          <w:sz w:val="20"/>
          <w:u w:val="none"/>
        </w:rPr>
        <w:t>49-50,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